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3F" w:rsidRDefault="0041157A" w:rsidP="0041157A">
      <w:pPr>
        <w:jc w:val="right"/>
        <w:rPr>
          <w:b/>
        </w:rPr>
      </w:pPr>
      <w:bookmarkStart w:id="0" w:name="_GoBack"/>
      <w:bookmarkEnd w:id="0"/>
      <w:r>
        <w:rPr>
          <w:b/>
        </w:rPr>
        <w:t>Č.j. MK 1751/2023 ORNK</w:t>
      </w:r>
    </w:p>
    <w:p w:rsidR="00D03F3F" w:rsidRDefault="00D03F3F" w:rsidP="00D03F3F">
      <w:pPr>
        <w:rPr>
          <w:b/>
          <w:u w:val="single"/>
        </w:rPr>
      </w:pPr>
    </w:p>
    <w:p w:rsidR="00D03F3F" w:rsidRPr="00DD3303" w:rsidRDefault="00D03F3F" w:rsidP="00D03F3F">
      <w:pPr>
        <w:jc w:val="both"/>
      </w:pPr>
      <w:r w:rsidRPr="00DD3303">
        <w:t xml:space="preserve">V souladu s usnesením vlády č. 843 ze dne 27. </w:t>
      </w:r>
      <w:r>
        <w:t>z</w:t>
      </w:r>
      <w:r w:rsidRPr="00DD3303">
        <w:t xml:space="preserve">áří 2021 k návrhu Státní kulturní politiky 2021-2025+ a v rámci implementace Úmluvy o zachování nemateriálního kulturního dědictví </w:t>
      </w:r>
      <w:r>
        <w:t xml:space="preserve">v České republice stanovuje Ministerstvo kultury </w:t>
      </w:r>
    </w:p>
    <w:p w:rsidR="00D03F3F" w:rsidRPr="00F556B0" w:rsidRDefault="00D03F3F" w:rsidP="00D03F3F">
      <w:pPr>
        <w:rPr>
          <w:b/>
          <w:u w:val="single"/>
        </w:rPr>
      </w:pPr>
    </w:p>
    <w:p w:rsidR="00D03F3F" w:rsidRPr="00972931" w:rsidRDefault="00D03F3F" w:rsidP="00D03F3F">
      <w:pPr>
        <w:jc w:val="center"/>
        <w:rPr>
          <w:b/>
          <w:sz w:val="32"/>
          <w:szCs w:val="32"/>
          <w:u w:val="single"/>
        </w:rPr>
      </w:pPr>
      <w:r w:rsidRPr="00972931">
        <w:rPr>
          <w:b/>
          <w:sz w:val="32"/>
          <w:szCs w:val="32"/>
          <w:u w:val="single"/>
        </w:rPr>
        <w:t>Plán péče o tradiční lidovou kulturu v ČR na léta 202</w:t>
      </w:r>
      <w:r>
        <w:rPr>
          <w:b/>
          <w:sz w:val="32"/>
          <w:szCs w:val="32"/>
          <w:u w:val="single"/>
        </w:rPr>
        <w:t>3</w:t>
      </w:r>
      <w:r w:rsidRPr="00972931">
        <w:rPr>
          <w:b/>
          <w:sz w:val="32"/>
          <w:szCs w:val="32"/>
          <w:u w:val="single"/>
        </w:rPr>
        <w:t xml:space="preserve"> – 2030</w:t>
      </w:r>
    </w:p>
    <w:p w:rsidR="00D03F3F" w:rsidRPr="00F556B0" w:rsidRDefault="00D03F3F" w:rsidP="00D03F3F"/>
    <w:p w:rsidR="00D03F3F" w:rsidRPr="00F556B0" w:rsidRDefault="00D03F3F" w:rsidP="00D03F3F">
      <w:r w:rsidRPr="00F556B0">
        <w:t>Obsah: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Novodobý vývoj a současný stav péče o tradiční lidovou kulturu v</w:t>
      </w:r>
      <w:r>
        <w:t> </w:t>
      </w:r>
      <w:r w:rsidRPr="00F556B0">
        <w:t>ČR</w:t>
      </w:r>
      <w:r>
        <w:t xml:space="preserve"> (str. 1)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A</w:t>
      </w:r>
      <w:r w:rsidRPr="00F556B0">
        <w:t>nalýza současného stavu</w:t>
      </w:r>
      <w:r>
        <w:t xml:space="preserve"> (str. </w:t>
      </w:r>
      <w:r w:rsidR="007E7DAE">
        <w:t>10</w:t>
      </w:r>
      <w:r>
        <w:t>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Konkrétní úkoly na úrovni ministerstva, krajů a odborných institucí</w:t>
      </w:r>
      <w:r>
        <w:t xml:space="preserve"> (str. 1</w:t>
      </w:r>
      <w:r w:rsidR="007E7DAE">
        <w:t>3</w:t>
      </w:r>
      <w:r>
        <w:t>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Finanční zabezpečení</w:t>
      </w:r>
      <w:r>
        <w:t xml:space="preserve"> (str. 1</w:t>
      </w:r>
      <w:r w:rsidR="007E7DAE">
        <w:t>9</w:t>
      </w:r>
      <w:r>
        <w:t>)</w:t>
      </w:r>
    </w:p>
    <w:p w:rsidR="00D03F3F" w:rsidRPr="00F556B0" w:rsidRDefault="00D03F3F" w:rsidP="00D03F3F"/>
    <w:p w:rsidR="00D03F3F" w:rsidRPr="00F1193B" w:rsidRDefault="00D03F3F" w:rsidP="00D03F3F">
      <w:pPr>
        <w:pStyle w:val="Odstavecseseznamem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>I. Novodobý vývoj a současný stav péče o tradiční lidovou kulturu v ČR</w:t>
      </w:r>
    </w:p>
    <w:p w:rsidR="00D03F3F" w:rsidRPr="00F556B0" w:rsidRDefault="00D03F3F" w:rsidP="00D03F3F">
      <w:pPr>
        <w:pStyle w:val="Odstavecseseznamem"/>
        <w:ind w:left="0"/>
        <w:jc w:val="both"/>
      </w:pPr>
    </w:p>
    <w:p w:rsidR="00D03F3F" w:rsidRPr="00F556B0" w:rsidRDefault="00D03F3F" w:rsidP="00D03F3F">
      <w:pPr>
        <w:pStyle w:val="Odstavecseseznamem"/>
        <w:ind w:left="0" w:firstLine="708"/>
        <w:jc w:val="both"/>
      </w:pPr>
      <w:r w:rsidRPr="00F556B0">
        <w:t>V druhé polovině 20. století zesílily mezinárodní snahy o podporu zachování nehmotného kulturního dědictví v různých částech světa. Završením těchto snah bylo přijetí „Úmluvy o zachování nemateriálního kulturního dědictví“ (Paříž, 2003; dále jen „Úmluva“). Česká republika (dále jen „ČR“) k této Úmluvě přistoupila v roce 2009</w:t>
      </w:r>
      <w:r w:rsidRPr="00F556B0">
        <w:rPr>
          <w:rStyle w:val="Znakapoznpodarou"/>
        </w:rPr>
        <w:footnoteReference w:id="1"/>
      </w:r>
      <w:r w:rsidRPr="00F556B0">
        <w:t xml:space="preserve"> a teprve tehdy získala poprvé v historii českých zemí právní ochranu pro své nemateriální kulturní dědictví. Jako implementační nástroj pro plnění úkolů této mezinárodní Úmluvy se velmi dobře osvědčila vládou přijatá „Koncepce účinnější péče o tradiční lidovou kulturu v České republice“, jejíž třetí aktualizace pozbyla platnosti v roce 2020</w:t>
      </w:r>
      <w:r w:rsidRPr="00F556B0">
        <w:rPr>
          <w:rStyle w:val="Znakapoznpodarou"/>
        </w:rPr>
        <w:footnoteReference w:id="2"/>
      </w:r>
      <w:r w:rsidRPr="00F556B0">
        <w:rPr>
          <w:color w:val="FF0000"/>
        </w:rPr>
        <w:t>.</w:t>
      </w:r>
      <w:r w:rsidRPr="00F556B0">
        <w:t xml:space="preserve"> Konkrétní úkoly v této oblasti od počátku směřovaly k efektivnější identifikaci tradiční lidové kultury, její systematické dokumentaci, uchovávání a předávání dalším generacím, jakož i k její prezentaci veřejnosti u nás i v zahraničí. V tomto duchu na předchozí koncepce navazuje konkrétními úkoly i tento plán pro období 202</w:t>
      </w:r>
      <w:r>
        <w:t>3</w:t>
      </w:r>
      <w:r w:rsidRPr="00F556B0">
        <w:t>-20</w:t>
      </w:r>
      <w:r>
        <w:t>30</w:t>
      </w:r>
      <w:r w:rsidRPr="00F556B0">
        <w:t xml:space="preserve">. </w:t>
      </w:r>
    </w:p>
    <w:p w:rsidR="00D03F3F" w:rsidRPr="00F556B0" w:rsidRDefault="00D03F3F" w:rsidP="00D03F3F">
      <w:pPr>
        <w:pStyle w:val="Odstavecseseznamem"/>
        <w:ind w:left="0" w:firstLine="708"/>
        <w:jc w:val="both"/>
      </w:pPr>
      <w:r w:rsidRPr="00F556B0">
        <w:t xml:space="preserve">ČR stojí v popředí mezinárodního úsilí o zachovávání nemateriálního kulturního dědictví. Toto její mezinárodní postavení bylo potvrzeno krátce po přístupu k Úmluvě, a to v červnu 2010 jejím zvolením do Mezivládního výboru pro zachování nemateriálního kulturního dědictví, který řídí provádění Úmluvy. Mandát vypršel v roce 2014. V září 2020 se této cti dostalo ČR podruhé, kdy byla opět zvolena do tohoto mezinárodního orgánu pro období 2020-2024. Kromě toho Česká národopisná společnost získala krátce po přístupu ČR k Úmluvě akreditaci UNESCO a dlouhodobě úspěšně působí v evaluačním orgánu Úmluvy. 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397"/>
        <w:jc w:val="both"/>
        <w:rPr>
          <w:color w:val="FF0000"/>
        </w:rPr>
      </w:pPr>
      <w:r w:rsidRPr="00F556B0">
        <w:t xml:space="preserve">Jako předmět péče v této oblasti se v souvislosti s Úmluvou v ČR chápe především nemateriální složka tradiční lidové kultury. Jejími jednotlivými prvky se rozumí především zkušenosti, znázornění, vyjádření, znalosti, dovednosti, jakož i nástroje, předměty, artefakty a kulturní prostory s nimi související, které společenství, skupiny a v některých případech též jednotlivci považují za součást svého nemateriálního kulturního dědictví.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ind w:firstLine="360"/>
        <w:jc w:val="both"/>
      </w:pPr>
      <w:r w:rsidRPr="00F556B0">
        <w:t xml:space="preserve">Tradiční lidová kultura (dále jen „TLK“) je významným zdrojem kulturní rozmanitosti, vzdělanosti, spolu s dalšími prvky kulturního dědictví vytváří základ sdíleného znalostního potenciálu a kulturní identity obyvatel země, má velký podíl při využívání volného času a tím přispívá ke kultivovanosti obyvatel, významně napomáhá celkovému rozvoji jednotlivých obcí </w:t>
      </w:r>
      <w:r w:rsidRPr="00F556B0">
        <w:lastRenderedPageBreak/>
        <w:t>i celých regionů. TLK je osobitou součástí kulturního dědictví, jejím výrazným specifikem je, že je živá a na rozdíl od dědictví hmotného se stále flexibilně vyvíjí a přetváří. Toto dědictví je tedy zároveň součástí tzv. živé kultury.</w:t>
      </w:r>
    </w:p>
    <w:p w:rsidR="00D03F3F" w:rsidRPr="00F556B0" w:rsidRDefault="00D03F3F" w:rsidP="00D03F3F">
      <w:pPr>
        <w:ind w:firstLine="360"/>
        <w:jc w:val="both"/>
      </w:pPr>
      <w:r w:rsidRPr="00F556B0">
        <w:t>V roce 2004 byl zřízen poradní orgán ministra kultury Národní rada pro tradiční lidovou kulturu</w:t>
      </w:r>
      <w:r w:rsidRPr="00F556B0">
        <w:rPr>
          <w:rStyle w:val="Znakapoznpodarou"/>
        </w:rPr>
        <w:footnoteReference w:id="3"/>
      </w:r>
      <w:r w:rsidRPr="00F556B0">
        <w:t>.</w:t>
      </w:r>
      <w:r w:rsidRPr="00F556B0">
        <w:rPr>
          <w:color w:val="FF0000"/>
        </w:rPr>
        <w:t xml:space="preserve"> </w:t>
      </w:r>
      <w:r w:rsidRPr="00F556B0">
        <w:t xml:space="preserve">V této radě jsou zastoupeny relevantní muzejní, vzdělávací a vědecké instituce, zástupci obcí, krajů a nositelů pečujících o nehmotné kulturní dědictví, zástupci Svazu řemeslníků ČR a veřejnoprávních médií. Ministerstvo kultury s radou konzultuje svoje dokumenty a záměry, rada působí jako posuzující orgán pro zápisy prvků do Seznamu nemateriálních statků TLK ČR.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ind w:firstLine="360"/>
        <w:jc w:val="both"/>
      </w:pPr>
      <w:r w:rsidRPr="00F556B0">
        <w:t>Důležitým momentem pro implementaci Úmluvy bylo povzbuzení a aktivizace obcí a regionů, aby soustředily svou pozornost v péči o kulturní dědictví nejen na hmotné památky, ale také na zvyky, tradice, obyčeje, řemeslné dovednosti a další živoucí nehmotné prvky. Ministerstvu kultury se podařilo ve spolupráci s krajskými samosprávami vytvořit funkční síť spolupracujících odborných institucí. Na celostátní úrovni pověřilo Ministerstvo kultury úlohou odborného gestora státní příspěvkovou organizaci Národní ústav lidové kultury ve Strážnici (2004) a na regionální úrovni kraje a krajské úřady pověřily vybraná muzea (2004–2008). Regionálními odbornými pracovišti pověřenými péčí o TLK v krajích (dále jen regionální pracoviště) se staly tyto instituce a jsou jimi dosud: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Hlavní město Praha: Muzeum hl. m. Prahy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Středočeský kraj: Regionální muzeum v Kolíně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Jihočeský kraj: Jihočeské muzeum v Českých Budějovicích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Plzeňský kraj: Vlastivědné muzeum Dr. Hostaše v Klatovech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Karlovarský kraj: Muzeum Cheb, p. o. Karlovarského kraje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Ústecký kraj: Regionální muzeum v Teplicích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 xml:space="preserve">Liberecký kraj: Muzeum Českého ráje </w:t>
      </w:r>
      <w:r>
        <w:t xml:space="preserve">v </w:t>
      </w:r>
      <w:r w:rsidRPr="00F556B0">
        <w:t>Turnov</w:t>
      </w:r>
      <w:r>
        <w:t>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Královéhradecký kraj: Muzeum východních Čech v Hradci Králové</w:t>
      </w:r>
    </w:p>
    <w:p w:rsidR="00D03F3F" w:rsidRPr="00F556B0" w:rsidRDefault="00D03F3F" w:rsidP="00D03F3F">
      <w:pPr>
        <w:numPr>
          <w:ilvl w:val="0"/>
          <w:numId w:val="9"/>
        </w:numPr>
        <w:rPr>
          <w:i/>
        </w:rPr>
      </w:pPr>
      <w:r w:rsidRPr="00F556B0">
        <w:t>Pardubický kraj: Muzeum v přírodě Vysočina, Hlinsko (Národní muzeum v přírodě, Rožnov pod Radhoštěm)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Kraj Vysočina: Muzeum Vysočiny Třebíč</w:t>
      </w:r>
      <w:r w:rsidRPr="00F556B0">
        <w:tab/>
      </w:r>
      <w:r w:rsidRPr="00F556B0">
        <w:tab/>
      </w:r>
      <w:r w:rsidRPr="00F556B0">
        <w:tab/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Jihomoravský kraj: Masarykovo muzeum v Hodoníně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Zlínský kraj: Slovácké muzeum v Uherském Hradišti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Olomoucký kraj: Vlastivědné muzeum v Olomouci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Moravskoslezský kraj: Muzeum Těšínska (Český Těšín) a Muzeum Novojičínska (Nový Jičín)</w:t>
      </w:r>
    </w:p>
    <w:p w:rsidR="00D03F3F" w:rsidRPr="00F556B0" w:rsidRDefault="00D03F3F" w:rsidP="00D03F3F">
      <w:pPr>
        <w:ind w:firstLine="708"/>
        <w:jc w:val="both"/>
      </w:pPr>
    </w:p>
    <w:p w:rsidR="00D03F3F" w:rsidRPr="00D323A2" w:rsidRDefault="00D03F3F" w:rsidP="00D03F3F">
      <w:pPr>
        <w:ind w:firstLine="708"/>
        <w:jc w:val="both"/>
      </w:pPr>
      <w:r w:rsidRPr="00F556B0">
        <w:t xml:space="preserve">Zřízení regionálních pracovišť orgány územních samospráv se projevilo jako velice prozřetelný a zásadní krok, protože vznik sítě těchto pracovišť, výsledky jejich práce a spolupráce s orgány územní samosprávy, vzájemná spolupráce regionálních pracovišť a spolupráce s Národním ústavem lidové kultury a Ministerstvem kultury přinášejí trvale příznivé výsledky. </w:t>
      </w:r>
      <w:r w:rsidRPr="00D323A2">
        <w:t>Tato celorepubliková síť odborných institucí na sebe převzala plnění stěžejních úkolů, díky kterým se podařilo významně eliminovat hrozící nebezpečí ztráty nebo negativní proměny některých významných kulturních hodnot a tradic. Základním předpokladem pokračování tohoto trendu je věnovat péči o tradiční lidovou kulturu trvalou pozornost, především pak její dokumentaci a prezentaci, uveřejňování výsledků výzkumů, vyhledávání rizik a příležitostí, a pro tyto účely pravidelně aktualizovat plány péče o tradiční lidovou kulturu v ČR.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>Mimo tuto síť se významně podílejí na péči o TLK muzea zřizovaná Ministerstvem kultury (zejména Národní muzeum, Národní muzeum v přírodě, Moravské zemské muzeum, Muzeum skla a bižuterie v Jablonci nad Nisou</w:t>
      </w:r>
      <w:r>
        <w:t>, Muzeum loutkářských kultur</w:t>
      </w:r>
      <w:r w:rsidRPr="00F556B0">
        <w:t xml:space="preserve">) a další jím zřizované instituce (Národní informační a poradenské středisko pro kulturu, Národní památkový ústav, Národní filmový archiv). Velmi přínosné jsou také mnohé projekty a aktivity Etnologického ústavu Akademie věd ČR, v.v.i., Ústavu evropské etnologie Filozofické fakulty Masarykovy univerzity, </w:t>
      </w:r>
      <w:r>
        <w:t>Ú</w:t>
      </w:r>
      <w:r w:rsidRPr="00F556B0">
        <w:t xml:space="preserve">stavu </w:t>
      </w:r>
      <w:r>
        <w:t xml:space="preserve">etnologie </w:t>
      </w:r>
      <w:r w:rsidRPr="00F556B0">
        <w:t xml:space="preserve">Filozofické fakulty Univerzity Karlovy a dalších univerzitních pracovišť, České národopisné společnosti, z.s., </w:t>
      </w:r>
      <w:r>
        <w:t xml:space="preserve">Asociace muzeí a galerií ČR, </w:t>
      </w:r>
      <w:r w:rsidRPr="00F556B0">
        <w:t xml:space="preserve">paměťových institucí a spolků na místní i regionální úrovni, místních samospráv, místních komunit, nestátních neziskových organizací a fyzických osob. </w:t>
      </w:r>
    </w:p>
    <w:p w:rsidR="00D03F3F" w:rsidRPr="00F556B0" w:rsidRDefault="00D03F3F" w:rsidP="00D03F3F">
      <w:pPr>
        <w:ind w:firstLine="708"/>
        <w:jc w:val="both"/>
      </w:pPr>
    </w:p>
    <w:p w:rsidR="00D03F3F" w:rsidRDefault="00D03F3F" w:rsidP="00D03F3F">
      <w:pPr>
        <w:ind w:firstLine="708"/>
        <w:jc w:val="both"/>
      </w:pPr>
      <w:r w:rsidRPr="00D323A2">
        <w:t>Mimořádný význam pro uchování tradiční lidové kultury v oblasti řemesel má udělování titulu „Nositel tradice lidových řemesel“ dle </w:t>
      </w:r>
      <w:r>
        <w:t>N</w:t>
      </w:r>
      <w:r w:rsidRPr="00D323A2">
        <w:t>ařízení vlády č. 5/2003 Sb., o oceněních v oblasti kultury, udělovaných Ministerstvem kultury, ve znění pozdějších předpisů. Je to zvláštní forma ocenění lidových řemeslníků, jejich dovedností, znalostí postupů a technologií tradičních lidových řemesel, zvláště těch, jimž hrozí zánik. Dosud tak ministr kultury ocenil 8</w:t>
      </w:r>
      <w:r>
        <w:t>9</w:t>
      </w:r>
      <w:r w:rsidRPr="00D323A2">
        <w:t xml:space="preserve"> vybraných řemeslníků. Toto ocenění a následná možnost držitelů titulu ucházet se o dotaci či stipendium Ministerstva kultury na uchování a prezentaci svého řemesla jsou zároveň podporou drobného podnikání a příkladem využití tradiční lidové kultury jako faktoru udržitelného rozvoje. Český projekt Nositel tradice lidových řemesel je mezinárodně velmi ceněnou národní variantou světového programu UNESCO „Žijící lidské poklady“. Pro</w:t>
      </w:r>
      <w:r w:rsidR="00F5262E">
        <w:t> </w:t>
      </w:r>
      <w:r w:rsidRPr="00D323A2">
        <w:t xml:space="preserve">uveřejňování informací z oblasti tradičních lidových řemesel zřídil Národní ústav lidové kultury portál </w:t>
      </w:r>
      <w:hyperlink r:id="rId8" w:history="1">
        <w:r w:rsidRPr="00D323A2">
          <w:rPr>
            <w:rStyle w:val="Hypertextovodkaz"/>
          </w:rPr>
          <w:t>www.lidovaremesla.cz</w:t>
        </w:r>
      </w:hyperlink>
      <w:r w:rsidRPr="00D323A2">
        <w:t xml:space="preserve">. Dlouhodobé zkušenosti s tímto programem přiměly v roce 2018 Ministerstvo kultury a Národní ústav lidové kultury k předložení nominace „Strategie pro zachování tradičních řemesel – program Nositelé tradice lidových řemesel“ k zápisu do Registru osvědčených praktik na zachování nemateriálního kulturního dědictví, který je jedním z mezinárodních seznamů zřízených UNESCO na základě Úmluvy o zachování nemateriálního kulturního dědictví. Z důvodu velkého převisu předložených nominací </w:t>
      </w:r>
      <w:r>
        <w:t xml:space="preserve">bylo hodnocení této české </w:t>
      </w:r>
      <w:r w:rsidRPr="00D323A2">
        <w:t xml:space="preserve">nominace </w:t>
      </w:r>
      <w:r>
        <w:t>odloženo a k zápisu do registru došlo až roce 2022.</w:t>
      </w:r>
    </w:p>
    <w:p w:rsidR="00D03F3F" w:rsidRPr="00D323A2" w:rsidRDefault="00D03F3F" w:rsidP="00D03F3F">
      <w:pPr>
        <w:ind w:firstLine="708"/>
        <w:jc w:val="both"/>
      </w:pPr>
    </w:p>
    <w:p w:rsidR="00D03F3F" w:rsidRDefault="00D03F3F" w:rsidP="00D03F3F">
      <w:pPr>
        <w:ind w:firstLine="708"/>
        <w:jc w:val="both"/>
        <w:rPr>
          <w:b/>
        </w:rPr>
      </w:pPr>
      <w:r w:rsidRPr="00D323A2">
        <w:t>K této formě veřejného oceňování řemeslníků udržujících výjimečné řemeslné technologie se postupně připojily kraje a některá města</w:t>
      </w:r>
      <w:r>
        <w:t>. Lidové</w:t>
      </w:r>
      <w:r w:rsidRPr="00D323A2">
        <w:t xml:space="preserve"> tvůrce na místní či krajské úrovni</w:t>
      </w:r>
      <w:r>
        <w:t xml:space="preserve"> oceňují</w:t>
      </w:r>
      <w:r w:rsidRPr="00D323A2">
        <w:t xml:space="preserve"> zpravidla pod označením „mistr tradiční rukodělné výroby“</w:t>
      </w:r>
      <w:r w:rsidRPr="00D323A2">
        <w:rPr>
          <w:rStyle w:val="Znakapoznpodarou"/>
          <w:b/>
        </w:rPr>
        <w:footnoteReference w:id="4"/>
      </w:r>
      <w:r w:rsidRPr="00D323A2">
        <w:rPr>
          <w:b/>
        </w:rPr>
        <w:t xml:space="preserve">. </w:t>
      </w:r>
    </w:p>
    <w:p w:rsidR="00D03F3F" w:rsidRPr="00577FAA" w:rsidRDefault="00D03F3F" w:rsidP="00D03F3F">
      <w:pPr>
        <w:ind w:firstLine="708"/>
        <w:jc w:val="both"/>
        <w:rPr>
          <w:b/>
        </w:rPr>
      </w:pPr>
    </w:p>
    <w:p w:rsidR="00D03F3F" w:rsidRPr="00F556B0" w:rsidRDefault="00D03F3F" w:rsidP="00D03F3F">
      <w:pPr>
        <w:ind w:firstLine="708"/>
        <w:jc w:val="both"/>
      </w:pPr>
      <w:r w:rsidRPr="00F556B0">
        <w:t>Mezi lety 2006</w:t>
      </w:r>
      <w:r>
        <w:t xml:space="preserve"> ˗ </w:t>
      </w:r>
      <w:r w:rsidRPr="00F556B0">
        <w:t>2010 na celém území ČR proběhlo dotazníkové šetření v oblasti identifikace prvků tradiční lidové kultury. Hlavním řešitelem byl Národní ústav lidové kultury a podílela se na něm všechna pověřená regionální pracoviště. Výsledky tematicky zaměřených dotazníků byly následně zpracovány jednak za celou Českou republiku, jednak za každý kraj samostatně. Vznikla tak obsáhlá databáze poznatků o současné podobě tradiční lidové kultury v ČR, která se stala podkladovým materiálem pro prezentaci</w:t>
      </w:r>
      <w:r>
        <w:t xml:space="preserve"> tradiční lidové kultury </w:t>
      </w:r>
      <w:r w:rsidRPr="00F556B0">
        <w:t>široké veřejnosti</w:t>
      </w:r>
      <w:r>
        <w:t xml:space="preserve"> a pro plánování odborné dokumentace identifikovaných prvků</w:t>
      </w:r>
      <w:r w:rsidRPr="00F556B0">
        <w:t>. Databáze je dostupná v elektronické formě na webovém portál</w:t>
      </w:r>
      <w:r>
        <w:t>u</w:t>
      </w:r>
      <w:r w:rsidRPr="00F556B0">
        <w:t xml:space="preserve"> Lidová kultura: </w:t>
      </w:r>
      <w:hyperlink r:id="rId9" w:history="1">
        <w:r w:rsidRPr="00F556B0">
          <w:rPr>
            <w:rStyle w:val="Hypertextovodkaz"/>
          </w:rPr>
          <w:t>Elektronické databáze - Lidová kultura (lidovakultura.cz)</w:t>
        </w:r>
      </w:hyperlink>
      <w:r w:rsidRPr="00F556B0">
        <w:t>, kterou spravuje NÚLK. Z důvodu nutnosti modernizace a optimalizace využitelnosti uvedené databáze byl v letech 2019</w:t>
      </w:r>
      <w:r>
        <w:t xml:space="preserve"> až 2</w:t>
      </w:r>
      <w:r w:rsidRPr="00F556B0">
        <w:t>021 realizován projekt interaktivní mapové aplikace, v jehož rámci byly výsledky dotazníkového šetření transformovány do mapových vrstev s multifunkčním vyhledáváním</w:t>
      </w:r>
      <w:r>
        <w:t>.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>Péče o tradiční lidovou kulturu je dotována na úrovni státu, krajů, měst a obcí, a to formou speciálních dotačních řízení nebo v rámci širších dotačních programů na kulturu. Ministerstvo kultury pravidelně od roku 2003 vyhlašuje veřejné výběrové dotační řízení na podporu projektů v oblasti péče o tradiční lidovou kulturu</w:t>
      </w:r>
      <w:r>
        <w:t xml:space="preserve"> a od roku 2009 Program poskytování příspěvků na tvůrčí nebo studijní účely</w:t>
      </w:r>
      <w:r w:rsidRPr="00F556B0">
        <w:t xml:space="preserve"> (viz následující tabulka). </w:t>
      </w:r>
    </w:p>
    <w:p w:rsidR="00D03F3F" w:rsidRPr="00F556B0" w:rsidRDefault="00D03F3F" w:rsidP="00D03F3F">
      <w:pPr>
        <w:ind w:firstLine="708"/>
        <w:jc w:val="both"/>
        <w:rPr>
          <w:b/>
          <w:color w:val="FF0000"/>
        </w:rPr>
        <w:sectPr w:rsidR="00D03F3F" w:rsidRPr="00F556B0" w:rsidSect="005318AF"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03F3F" w:rsidRPr="00F556B0" w:rsidRDefault="00D03F3F" w:rsidP="00D03F3F">
      <w:pPr>
        <w:ind w:firstLine="708"/>
        <w:jc w:val="center"/>
        <w:rPr>
          <w:b/>
        </w:rPr>
      </w:pPr>
      <w:r w:rsidRPr="00F556B0">
        <w:rPr>
          <w:b/>
        </w:rPr>
        <w:lastRenderedPageBreak/>
        <w:t>DOTACE A STIPENDIA V OBLASTI TRADIČNÍ LIDOVÉ KULTURY Z PROGRAMŮ MK 2003-202</w:t>
      </w:r>
      <w:r>
        <w:rPr>
          <w:b/>
        </w:rPr>
        <w:t>1</w:t>
      </w:r>
    </w:p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1275"/>
        <w:gridCol w:w="1135"/>
        <w:gridCol w:w="1367"/>
        <w:gridCol w:w="1323"/>
        <w:gridCol w:w="1109"/>
        <w:gridCol w:w="1137"/>
        <w:gridCol w:w="1928"/>
        <w:gridCol w:w="1499"/>
        <w:gridCol w:w="1417"/>
      </w:tblGrid>
      <w:tr w:rsidR="00D03F3F" w:rsidRPr="00F556B0" w:rsidTr="004B6713">
        <w:trPr>
          <w:trHeight w:val="19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Podpora MK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TLK 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TLK B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regionální pracoviště pro péči o tradiční lidovou kulturu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 xml:space="preserve">z toho: Nositelé tradice lidových řemesel  </w:t>
            </w:r>
            <w:r w:rsidRPr="00732950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+ mimořádné stipendium 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udělování titulu Nositel tradice lidových řemesel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prvky zapsané na seznam UNESCO a národní seznam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podpora neprofesionálních uměleckých aktivit – folklor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podpora zahraničních kontaktů - folklor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podpora regionálních kulturních tradic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4 592 000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2 645 000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150 000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1 370 000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307 000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7 898 000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5 062 000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613 000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2 348 000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232 000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256 000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7 457 000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2 269 000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3 193 000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1 264 000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240 000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1 445 000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200 000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9 421 000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2 300 000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5 156 000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1 506 000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364 000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1 305 000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110 000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10 505 000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3 604 000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3 969 000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2 360 000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138 000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100 000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1 957 000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545 000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430 000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15 271 000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5 694 000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5 332 000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2 546 000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171 000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764 000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3 485 000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520 000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240 000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10 360 000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2 800 000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5 800 000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2 110 000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71 000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292 000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1 183 000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232 000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345 000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10 937 338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3 067 000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5 412 000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2 165 000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98 000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125 000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1 222 000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540 000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696 338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10 597 000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5 010 000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937 000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258 000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1 624 000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428 000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535 000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10 358 000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2 530 000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5 266 000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1 568 000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49 000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414 000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1 532 000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300 000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1 870 000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5 248 000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1 047 000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185 000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525 000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802 000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210 000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9 457 000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2 094 000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4 831 000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1 080 000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49 000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924 000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1 680 000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102 000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9 913 125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2 629 125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4 851 000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1 211 000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179 000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407 000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1 419 000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440 000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167 000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9 441 000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1 623 000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5 709 000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1 247 000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74 000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220 000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480 000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1 133 000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586 000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390 000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11 418 000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1 372 000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6 063 000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1 552 000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565 000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745 000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485 000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4 908 000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1 750 000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3 053 000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1 028 000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1 069 000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1 050 000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1 245 000</w:t>
            </w:r>
          </w:p>
        </w:tc>
      </w:tr>
      <w:tr w:rsidR="00D03F3F" w:rsidRPr="00F556B0" w:rsidTr="004B6713">
        <w:trPr>
          <w:trHeight w:val="41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7 127 165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1 475 000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3 122 165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1 275 000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340 000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1 234 500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1 360 000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2020</w:t>
            </w:r>
            <w:r w:rsidRPr="00732950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8 487 000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1 427 000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2 708 000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1 254 000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2 080 000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2 066 000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1 718 000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450 000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2021</w:t>
            </w:r>
            <w:r w:rsidRPr="00732950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12 534 364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1 819 864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3 217 500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1 183 000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2 096 000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1 950 000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1 255 000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455 000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732950">
              <w:rPr>
                <w:b/>
                <w:color w:val="FF0000"/>
                <w:sz w:val="20"/>
                <w:szCs w:val="20"/>
              </w:rPr>
              <w:t>180 131 992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49 030 989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77 940 669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25 946 000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5 817 000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5 849 000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11 268 500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29 151 000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9 468 000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6 946 338</w:t>
            </w:r>
          </w:p>
        </w:tc>
      </w:tr>
    </w:tbl>
    <w:p w:rsidR="00D03F3F" w:rsidRPr="00F556B0" w:rsidRDefault="00D03F3F" w:rsidP="00D03F3F">
      <w:pPr>
        <w:ind w:firstLine="708"/>
        <w:jc w:val="both"/>
        <w:rPr>
          <w:color w:val="FF0000"/>
        </w:rPr>
      </w:pPr>
      <w:r w:rsidRPr="00F556B0">
        <w:rPr>
          <w:color w:val="FF0000"/>
        </w:rPr>
        <w:t xml:space="preserve">*pozn. včetně mimořádného stipendia pro Nositele TLŘ vyhlášeného v souvislosti s pandemií Covid-19 </w:t>
      </w:r>
    </w:p>
    <w:p w:rsidR="00D03F3F" w:rsidRPr="00F556B0" w:rsidRDefault="00D03F3F" w:rsidP="00D03F3F">
      <w:pPr>
        <w:jc w:val="both"/>
        <w:sectPr w:rsidR="00D03F3F" w:rsidRPr="00F556B0" w:rsidSect="005318A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 xml:space="preserve">Oblast péče o tradiční lidovou kulturu, podobně jako jiné oblasti kulturního a společenského života, významně zasáhla pandemie covid-19. Velmi ohroženou skupinou se stali také Nositelé tradice lidových řemesel. Vzhledem k tomu, že mnoho z nich nedosáhlo v rámci jiných programů na podporu, Ministerstvo kultury připravilo pro tyto výjimečné řemeslníky </w:t>
      </w:r>
      <w:r>
        <w:t>v letech</w:t>
      </w:r>
      <w:r w:rsidRPr="00F556B0">
        <w:t xml:space="preserve"> 202</w:t>
      </w:r>
      <w:r>
        <w:t>0 a 2021</w:t>
      </w:r>
      <w:r w:rsidRPr="00F556B0">
        <w:t xml:space="preserve"> mimořádný stipendijní program, </w:t>
      </w:r>
      <w:r>
        <w:t>kterým</w:t>
      </w:r>
      <w:r w:rsidRPr="00F556B0">
        <w:t xml:space="preserve"> podpořilo jejich tvorbu a předávání zkušeností a dovedností nastupující generaci. </w:t>
      </w:r>
      <w:r>
        <w:t xml:space="preserve">Program také napomohl muzejním institucím získat do svých sbírek výrobky těchto řemeslníků. </w:t>
      </w:r>
      <w:r w:rsidRPr="00F556B0">
        <w:t>O program byl velký zájem, prvotní zkušenosti s touto podporou naznačily, že stipendijní program Ministerstva kultury je velmi účinný</w:t>
      </w:r>
      <w:r>
        <w:t>m</w:t>
      </w:r>
      <w:r w:rsidRPr="00F556B0">
        <w:t xml:space="preserve"> nástrojem v oblasti uchování a předávání tr</w:t>
      </w:r>
      <w:r>
        <w:t>adičních znalostí a dovedností.</w:t>
      </w:r>
    </w:p>
    <w:p w:rsidR="00D03F3F" w:rsidRDefault="00D03F3F" w:rsidP="00D03F3F">
      <w:pPr>
        <w:ind w:firstLine="708"/>
        <w:jc w:val="both"/>
      </w:pPr>
      <w:r w:rsidRPr="00F556B0">
        <w:t>Výsledky plnění úkolů v oblasti péče o TLK jsou každoročně zveřejňovány ve výročních zprávách výše uvedených institucí, Ministerstva kultury a také prostřednictvím internetových domén pod správou NÚLK</w:t>
      </w:r>
      <w:r>
        <w:t>:</w:t>
      </w:r>
      <w:r w:rsidRPr="00F556B0">
        <w:t xml:space="preserve"> </w:t>
      </w:r>
      <w:hyperlink r:id="rId11" w:history="1">
        <w:r w:rsidRPr="00F556B0">
          <w:rPr>
            <w:rStyle w:val="Hypertextovodkaz"/>
          </w:rPr>
          <w:t>www.nulk.cz</w:t>
        </w:r>
      </w:hyperlink>
      <w:r w:rsidRPr="00F556B0">
        <w:t xml:space="preserve">, </w:t>
      </w:r>
      <w:hyperlink r:id="rId12" w:history="1">
        <w:r w:rsidRPr="00F556B0">
          <w:rPr>
            <w:rStyle w:val="Hypertextovodkaz"/>
          </w:rPr>
          <w:t>www.lidovakultura.cz</w:t>
        </w:r>
      </w:hyperlink>
      <w:r>
        <w:t xml:space="preserve"> </w:t>
      </w:r>
      <w:r w:rsidRPr="00F556B0">
        <w:t>a</w:t>
      </w:r>
      <w:r>
        <w:t> </w:t>
      </w:r>
      <w:hyperlink r:id="rId13" w:history="1">
        <w:r w:rsidRPr="00F556B0">
          <w:rPr>
            <w:rStyle w:val="Hypertextovodkaz"/>
          </w:rPr>
          <w:t>www.lidovaremesla.cz</w:t>
        </w:r>
      </w:hyperlink>
      <w:r w:rsidRPr="00F556B0">
        <w:t xml:space="preserve">. </w:t>
      </w:r>
    </w:p>
    <w:p w:rsidR="007E7DAE" w:rsidRDefault="007E7DAE" w:rsidP="007E7DAE">
      <w:pPr>
        <w:ind w:firstLine="709"/>
        <w:jc w:val="both"/>
        <w:rPr>
          <w:rStyle w:val="Hypertextovodkaz"/>
        </w:rPr>
      </w:pPr>
      <w:r>
        <w:t xml:space="preserve">V roce 2022 odevzdala ČR sekretariátu UNESCO Implementační zprávu o plnění Úmluvy o zachování nemateriálního kulturního dědictví a o stavu prvků zapsaných v Reprezentativním seznamu nemateriálního kulturního dědictví lidstva za období 2016 ˗ 2021. Zpráva je uveřejněna na webu MK zde: </w:t>
      </w:r>
      <w:hyperlink r:id="rId14" w:history="1">
        <w:r w:rsidRPr="00332A92">
          <w:rPr>
            <w:rStyle w:val="Hypertextovodkaz"/>
          </w:rPr>
          <w:t>https://www.mkcr.cz/umluva-o-zachovani-nematerialniho-kulturniho-dedictvi-300.html</w:t>
        </w:r>
      </w:hyperlink>
    </w:p>
    <w:p w:rsidR="00D03F3F" w:rsidRDefault="00D03F3F" w:rsidP="007E7DAE">
      <w:pPr>
        <w:spacing w:before="100" w:beforeAutospacing="1" w:after="100" w:afterAutospacing="1"/>
        <w:ind w:firstLine="708"/>
        <w:jc w:val="both"/>
      </w:pPr>
      <w:r w:rsidRPr="00F556B0">
        <w:t>Významným mezníkem v oblasti péče o TLK bylo zřízení Seznamu nemateriálních statků tradiční lidové kultury ČR v roce 2008</w:t>
      </w:r>
      <w:r w:rsidRPr="00F556B0">
        <w:rPr>
          <w:rStyle w:val="Znakapoznpodarou"/>
        </w:rPr>
        <w:footnoteReference w:id="5"/>
      </w:r>
      <w:r w:rsidRPr="00F556B0">
        <w:t xml:space="preserve">. Hlavním účelem tohoto seznamu je ochrana, zachování, identifikace, rozvoj a podpora nemateriálního kulturního dědictví na území ČR. Seznam je pravidelně aktualizován a zapsané statky pravidelně dokumentovány. Zápis </w:t>
      </w:r>
      <w:r>
        <w:t>do</w:t>
      </w:r>
      <w:r w:rsidR="00F5262E">
        <w:t> </w:t>
      </w:r>
      <w:r w:rsidRPr="00F556B0">
        <w:t>tohoto národního seznamu je základní podmínkou pro možnost nominování statku do</w:t>
      </w:r>
      <w:r w:rsidR="00F5262E">
        <w:t> </w:t>
      </w:r>
      <w:r w:rsidRPr="00F556B0">
        <w:t>Reprezentativního seznamu nemateriálního kulturního dědictví lidstva, který zřídilo na</w:t>
      </w:r>
      <w:r w:rsidR="00F5262E">
        <w:t> </w:t>
      </w:r>
      <w:r w:rsidRPr="00F556B0">
        <w:t>základě Úmluvy UNESCO.</w:t>
      </w:r>
    </w:p>
    <w:p w:rsidR="00D03F3F" w:rsidRPr="000A5A4E" w:rsidRDefault="00D03F3F" w:rsidP="00D03F3F">
      <w:pPr>
        <w:spacing w:before="100" w:beforeAutospacing="1" w:after="100" w:afterAutospacing="1"/>
      </w:pPr>
      <w:r w:rsidRPr="000A5A4E">
        <w:t>Seznam obsahuje k 1. 1. 202</w:t>
      </w:r>
      <w:r>
        <w:t>3</w:t>
      </w:r>
      <w:r w:rsidRPr="000A5A4E">
        <w:t xml:space="preserve"> tyto položky: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080"/>
        <w:gridCol w:w="2972"/>
      </w:tblGrid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A5A4E">
              <w:rPr>
                <w:b/>
                <w:bCs/>
              </w:rPr>
              <w:t>Pořadové číslo položky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tabs>
                <w:tab w:val="center" w:pos="2487"/>
              </w:tabs>
              <w:spacing w:before="100" w:beforeAutospacing="1" w:after="100" w:afterAutospacing="1"/>
              <w:rPr>
                <w:b/>
                <w:bCs/>
              </w:rPr>
            </w:pPr>
            <w:r w:rsidRPr="000A5A4E">
              <w:rPr>
                <w:b/>
                <w:bCs/>
              </w:rPr>
              <w:tab/>
              <w:t>Název statku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A5A4E">
              <w:rPr>
                <w:b/>
                <w:bCs/>
              </w:rPr>
              <w:t>Navrhovatel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1/2009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Slovácký verbuňk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2/2009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Vesnické masopustní obchůzky a masky na Hlinecku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NPÚ – SLS Vysočina, Hlinsko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3/2009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Jízdy králů na Slovácku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4/2009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Sokolnictví – umění chovu dravců, jejich ochrany, výcviku a lovu s nimi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Ministerstvo zemědělství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Myslivost – plánovitě trvale udržitelné obhospodařování zvěře a jejího prostředí jako přirozená součást života na venkově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Českomoravská myslivecká jednota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lastRenderedPageBreak/>
              <w:t>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Valašský odzemek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Valašské muzeum v přírodě, Rožnov pod Radhoštěm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Vodění jidáše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Národní památkový ústav,</w:t>
            </w:r>
            <w:r>
              <w:t xml:space="preserve"> </w:t>
            </w:r>
            <w:r w:rsidRPr="000A5A4E">
              <w:t>ú.o.p. Pardubice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Východočeské loutkářství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Královéhradecký kraj, Pardubický kraj</w:t>
            </w:r>
          </w:p>
        </w:tc>
      </w:tr>
      <w:tr w:rsidR="00D03F3F" w:rsidRPr="000A5A4E" w:rsidTr="00E01481">
        <w:trPr>
          <w:trHeight w:val="359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Běh o Barchan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Město Jemnice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Technologie výroby modrotisku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Tradiční léčebné procedury a odkaz V. Priessnitze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Olomoucký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České loutkářství – lidové interpretační umění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informační a poradenské středisko pro kulturu, Praha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13/2015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Betlémská cesta v Třešti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14/2015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Lidová tradice výroby vánočních ozdob ze skleněných perliček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Českého ráje v Turnově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15/2016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Skřipácká muzika na Jihlavsku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16/2016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Velikonoční obchůzky s Jidáši na Bučovicku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Masarykovo muzeum v Hodoníně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17/2017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Historický morový průvod v Brtnici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Milevské maškary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Maškarní sdružení, spolek pro udržování tradic v Milevsku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Ochotnické divadlo v České republice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informační a poradenské středisko pro kulturu, Praha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Ruční výroba masopustních masek v Zákupech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Českého ráje v Turnově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21/2017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Velikonoční slavnosti Matiček a Ježíškových Matiček na Hané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Olomoucký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22/2017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Tradice vorařství na řece Vltavě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Vltavan Čechy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Technologie pivovarnického bednářství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Plzeňský Prazdroj, a.s.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Technologie tkaní činovati na Horňácku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Dudácká tradice v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Ruční výroba žinylkových textilií v Hlinsku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Pardubický kraj a NPÚ – SLS Vysočina, Hlinsko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Tradice krajkářství na Vamberecku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Královéhradecký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Tradiční hody s právem na Uherskohradišťsku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Slovácké muzeum, Uherské Hradiště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Ruční výroba skla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skla a bižuterie, Jablonec nad Nisou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30/2021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Zlatá sobota – praxe v průběhu mariánské pouti v Žarošicích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Masarykovo muzeum v Hodoníně; Moravské zemské muzeum, Brno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>
              <w:lastRenderedPageBreak/>
              <w:t>31/2022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Masopustní mečové tance na Uherskobrodsku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>
              <w:t>Slovácké muzeum, Uherské Hradiště</w:t>
            </w:r>
          </w:p>
        </w:tc>
      </w:tr>
    </w:tbl>
    <w:p w:rsidR="00D03F3F" w:rsidRDefault="00D03F3F" w:rsidP="00D03F3F">
      <w:pPr>
        <w:spacing w:before="100" w:beforeAutospacing="1" w:after="100" w:afterAutospacing="1"/>
        <w:ind w:firstLine="708"/>
        <w:jc w:val="both"/>
      </w:pPr>
    </w:p>
    <w:p w:rsidR="00D03F3F" w:rsidRPr="00F556B0" w:rsidRDefault="00D03F3F" w:rsidP="00D03F3F">
      <w:pPr>
        <w:spacing w:before="100" w:beforeAutospacing="1" w:after="100" w:afterAutospacing="1"/>
        <w:ind w:firstLine="708"/>
        <w:jc w:val="both"/>
      </w:pPr>
      <w:r>
        <w:t xml:space="preserve">Z </w:t>
      </w:r>
      <w:r w:rsidRPr="00F556B0">
        <w:t>toho do Reprezentativního seznamu nemateriálního kulturního dědictví lidstva (UNESCO) byly dosud zapsány tyto statky:</w:t>
      </w:r>
    </w:p>
    <w:p w:rsidR="00D03F3F" w:rsidRPr="00F556B0" w:rsidRDefault="00D03F3F" w:rsidP="00D03F3F">
      <w:pPr>
        <w:spacing w:before="100" w:beforeAutospacing="1" w:after="100" w:afterAutospacing="1"/>
        <w:jc w:val="both"/>
      </w:pPr>
      <w:r w:rsidRPr="00F556B0">
        <w:t>Slovácký verbuňk (2005), Masopustní obchůzky a masky na Hlinecku (2010), Sokolnictví (2010 – přidružení ČR k nadnárodní nominaci koordinované Spojenými arabskými emiráty) Jízdy králů na jihovýchodě České republiky (2011), Slovenské a české loutkářství (2016 – společná nominace Slovesné republiky a České republiky), Modrotisk (2018 – společná nominace České republiky, Maďarska, Německa, Rakouska a Slovenské republiky), Výroba vánočních ozdob ze skleněných perlí pro vánoční stromek (2020)</w:t>
      </w:r>
      <w:r>
        <w:t>, Vorařství v Evropě (2022 – společná nominace ČR, Lotyšska, Německa, Polska, Rakouska a Španělska)</w:t>
      </w:r>
      <w:r w:rsidRPr="00F556B0">
        <w:t xml:space="preserve">. </w:t>
      </w:r>
    </w:p>
    <w:p w:rsidR="00D03F3F" w:rsidRDefault="00D03F3F" w:rsidP="00D03F3F">
      <w:pPr>
        <w:spacing w:before="100" w:beforeAutospacing="1" w:after="100" w:afterAutospacing="1"/>
        <w:ind w:firstLine="708"/>
        <w:jc w:val="both"/>
      </w:pPr>
      <w:r w:rsidRPr="00F556B0">
        <w:t>V </w:t>
      </w:r>
      <w:r>
        <w:t>roce</w:t>
      </w:r>
      <w:r w:rsidRPr="00F556B0">
        <w:t xml:space="preserve"> 2021 </w:t>
      </w:r>
      <w:r>
        <w:t>Ministerstvo kultury</w:t>
      </w:r>
      <w:r w:rsidRPr="00F556B0">
        <w:t xml:space="preserve"> </w:t>
      </w:r>
      <w:r>
        <w:t xml:space="preserve">iniciovalo českou účast v další nově připravované nadnárodní nominaci „Ruční výroba skla“ (ČR, Finsko, Francie, Německo, Maďarsko, Španělsko). Nominace byla odevzdána v březnu 2022 a nyní prochází </w:t>
      </w:r>
      <w:r w:rsidRPr="00F556B0">
        <w:t>hodnotící</w:t>
      </w:r>
      <w:r>
        <w:t>m</w:t>
      </w:r>
      <w:r w:rsidRPr="00F556B0">
        <w:t xml:space="preserve"> proces</w:t>
      </w:r>
      <w:r>
        <w:t>em</w:t>
      </w:r>
      <w:r w:rsidRPr="00F556B0">
        <w:t xml:space="preserve">. </w:t>
      </w:r>
    </w:p>
    <w:p w:rsidR="00D03F3F" w:rsidRPr="00F556B0" w:rsidRDefault="00D03F3F" w:rsidP="00D03F3F">
      <w:pPr>
        <w:spacing w:before="100" w:beforeAutospacing="1" w:after="100" w:afterAutospacing="1"/>
        <w:ind w:firstLine="708"/>
        <w:jc w:val="both"/>
      </w:pPr>
      <w:r>
        <w:t>Od roku 2022 má ČR první zápis v dalším seznamu UNESCO, a to v Registru osvědčených postupů na zachování nemateriálního kulturního dědictví. Do tohoto registru byla zap</w:t>
      </w:r>
      <w:r w:rsidR="00A26687">
        <w:t>s</w:t>
      </w:r>
      <w:r>
        <w:t xml:space="preserve">ána „Strategie pro zachování tradičních řemesel – program Nositelé tradice lidových řemesel“ realizovaná v ČR od roku 2001. </w:t>
      </w:r>
    </w:p>
    <w:p w:rsidR="00D03F3F" w:rsidRPr="00F556B0" w:rsidRDefault="00D03F3F" w:rsidP="00D03F3F">
      <w:pPr>
        <w:ind w:firstLine="708"/>
        <w:jc w:val="both"/>
      </w:pPr>
      <w:r w:rsidRPr="00F556B0">
        <w:t xml:space="preserve">Období mezi lety 2011 </w:t>
      </w:r>
      <w:r>
        <w:t>až</w:t>
      </w:r>
      <w:r w:rsidRPr="00F556B0">
        <w:t xml:space="preserve"> 2018 bylo důležité pro tvorbu soupisů regionálně významných prvků tradiční lidové kultury na úrovni krajů (tzv. krajských seznamů). Dle metodického pokynu Ministerstva kultury</w:t>
      </w:r>
      <w:r w:rsidRPr="00F556B0">
        <w:rPr>
          <w:rStyle w:val="Znakapoznpodarou"/>
        </w:rPr>
        <w:footnoteReference w:id="6"/>
      </w:r>
      <w:r w:rsidRPr="00F556B0">
        <w:t xml:space="preserve"> lze nominovat prvky do Seznamu nemateriálních statků tradiční lidové kultury ČR od roku 2014 pouze po předchozím zapsání do krajského seznamu. Tyto seznamy se podařilo vytvořit ve všech krajích ČR</w:t>
      </w:r>
      <w:r w:rsidRPr="00F556B0">
        <w:rPr>
          <w:rStyle w:val="Znakapoznpodarou"/>
        </w:rPr>
        <w:footnoteReference w:id="7"/>
      </w:r>
      <w:r w:rsidRPr="00F556B0">
        <w:t xml:space="preserve">. </w:t>
      </w:r>
    </w:p>
    <w:p w:rsidR="00D03F3F" w:rsidRPr="00D323A2" w:rsidRDefault="00D03F3F" w:rsidP="00D03F3F">
      <w:pPr>
        <w:jc w:val="both"/>
      </w:pPr>
    </w:p>
    <w:p w:rsidR="00D03F3F" w:rsidRPr="00D323A2" w:rsidRDefault="00D03F3F" w:rsidP="00D03F3F">
      <w:pPr>
        <w:ind w:firstLine="708"/>
        <w:jc w:val="both"/>
      </w:pPr>
      <w:r w:rsidRPr="00D323A2">
        <w:t>Ministerstvo kultury podporuje a rozvíjí odbornou spolupráci v oblasti péče o nehmotné kulturní dědictví s dalšími resorty, z nichž relevantní jsou: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školství, mládeže a tělovýchovy</w:t>
      </w:r>
      <w:r w:rsidRPr="00D323A2">
        <w:t xml:space="preserve"> jako gestor pro oblast využívání poznatků o tradiční lidové kultuře ve výchovně vzdělávacím procesu a zařazování nabídky z oblasti muzejní pedagogiky do vyučování na úrovni všech typů mateřských, základních i středních škol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vnitra</w:t>
      </w:r>
      <w:r w:rsidRPr="00D323A2">
        <w:t xml:space="preserve"> jako gestor pro oblast spolupráce při průzkumech archivních dokladů o nehmotném kulturním dědictví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obrany</w:t>
      </w:r>
      <w:r w:rsidRPr="00D323A2">
        <w:t xml:space="preserve"> jako zřizovatel Vojenského uměleckého souboru Ondráš, který je jediným profesionálním uměleckým tělesem svého druhu v ČR a ve své tvorbě čerpá z lidových tradic, hudebního a tanečního folkloru všech regionů ČR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lastRenderedPageBreak/>
        <w:t>Ministerstvo zemědělství</w:t>
      </w:r>
      <w:r w:rsidRPr="00D323A2">
        <w:t xml:space="preserve"> jako gestor vybraných statků zapsaných do Seznamu nemateriálních statků tradiční lidové kultury ČR a do Reprezentativního seznamu nemateriálního kulturního dědictví lidstva (UNESCO)</w:t>
      </w:r>
    </w:p>
    <w:p w:rsidR="00D03F3F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zahraničních věcí</w:t>
      </w:r>
      <w:r w:rsidRPr="00D323A2">
        <w:t xml:space="preserve"> jako poskytovatel organizační spolupráce prostřednictvím Stále mise ČR při UNESCO a České komise pro UNESCO</w:t>
      </w:r>
    </w:p>
    <w:p w:rsidR="00D03F3F" w:rsidRPr="00D323A2" w:rsidRDefault="00D03F3F" w:rsidP="00D03F3F">
      <w:pPr>
        <w:ind w:firstLine="708"/>
        <w:jc w:val="both"/>
      </w:pPr>
    </w:p>
    <w:p w:rsidR="007E7DAE" w:rsidRDefault="007E7DAE">
      <w:pPr>
        <w:spacing w:after="160" w:line="259" w:lineRule="auto"/>
      </w:pPr>
      <w:r>
        <w:br w:type="page"/>
      </w:r>
    </w:p>
    <w:p w:rsidR="00D03F3F" w:rsidRPr="00F556B0" w:rsidRDefault="00D03F3F" w:rsidP="00D03F3F">
      <w:pPr>
        <w:ind w:firstLine="708"/>
        <w:jc w:val="both"/>
      </w:pPr>
    </w:p>
    <w:p w:rsidR="00D03F3F" w:rsidRPr="00F1193B" w:rsidRDefault="00D03F3F" w:rsidP="00D03F3F">
      <w:pPr>
        <w:jc w:val="center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 xml:space="preserve">II. </w:t>
      </w:r>
      <w:r>
        <w:rPr>
          <w:b/>
          <w:i/>
          <w:sz w:val="28"/>
          <w:szCs w:val="28"/>
        </w:rPr>
        <w:t>A</w:t>
      </w:r>
      <w:r w:rsidRPr="00F1193B">
        <w:rPr>
          <w:b/>
          <w:i/>
          <w:sz w:val="28"/>
          <w:szCs w:val="28"/>
        </w:rPr>
        <w:t>nalýza</w:t>
      </w:r>
      <w:r>
        <w:rPr>
          <w:b/>
          <w:i/>
          <w:sz w:val="28"/>
          <w:szCs w:val="28"/>
        </w:rPr>
        <w:t xml:space="preserve"> současného stavu</w:t>
      </w:r>
    </w:p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 xml:space="preserve">1)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může</w:t>
      </w:r>
      <w:r w:rsidRPr="00F556B0">
        <w:rPr>
          <w:i/>
        </w:rPr>
        <w:t xml:space="preserve"> vláda, ať již přímo (např. usnesením, nařízením, vyhláškou apod.) nebo nepřímo (např. usnesením v jiné věci, zavedením inovace technologie, systemizací apod.) ovlivnit, působí v současnosti </w:t>
      </w:r>
      <w:r w:rsidRPr="00F556B0">
        <w:rPr>
          <w:b/>
          <w:bCs/>
          <w:i/>
        </w:rPr>
        <w:t>příznivě</w:t>
      </w:r>
      <w:r w:rsidRPr="00F556B0">
        <w:rPr>
          <w:i/>
        </w:rPr>
        <w:t xml:space="preserve"> 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pStyle w:val="Zkladntextodsazen2"/>
        <w:spacing w:after="0" w:line="240" w:lineRule="auto"/>
        <w:ind w:left="0"/>
        <w:jc w:val="both"/>
      </w:pP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 xml:space="preserve">Úspěšné aktuální projekty </w:t>
      </w:r>
      <w:r w:rsidRPr="00F556B0">
        <w:t>– nadále se úspěšně realizuje národní projekt Nositel tradice lidových řemesel, podařilo se zavést a průběžně aktualiz</w:t>
      </w:r>
      <w:r>
        <w:t>ovat</w:t>
      </w:r>
      <w:r w:rsidRPr="00F556B0">
        <w:t xml:space="preserve"> Seznam nemateriálních statků tradiční lidové kultury ČR; ve všech krajích ČR se podařilo zavést obdobu tohoto národního seznamu; ve všech krajích kromě Karlovarského </w:t>
      </w:r>
      <w:r>
        <w:t xml:space="preserve">a Hlavního města Prahy </w:t>
      </w:r>
      <w:r w:rsidRPr="00F556B0">
        <w:t>se podařilo zavést ocenění řemeslníků v oblasti tradičních řemesel</w:t>
      </w:r>
      <w:r>
        <w:t xml:space="preserve">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Existence sítě odborných organizací</w:t>
      </w:r>
      <w:r w:rsidRPr="00F556B0">
        <w:t xml:space="preserve"> pro péči o TLK, vytvoření profesionálních týmů; péčí o TLK je pověřena příspěvková organizace Ministerstva kultury Národní ústav lidové kultury a regionální odborná pracoviště při krajských muzeích</w:t>
      </w:r>
      <w:r>
        <w:t xml:space="preserve"> a Národním muzeu v přírodě </w:t>
      </w:r>
      <w:r w:rsidRPr="00F556B0">
        <w:t>s vlastní sítí dobrovolných spolupracovníků a spolupracujících institucí,</w:t>
      </w:r>
      <w:r>
        <w:t xml:space="preserve"> </w:t>
      </w:r>
      <w:r w:rsidRPr="00F556B0">
        <w:t>s jejichž pomocí se buduje a rozvíjí koordinovaný systém péče o TLK v celé ČR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Zlepšení české muzejní pedagogiky</w:t>
      </w:r>
      <w:r w:rsidRPr="00F556B0">
        <w:t xml:space="preserve"> se významně projevilo i u projektů prezentujících TLK v rámci školních programů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Udržitelná míra financování projektů v rámci státního rozpočtu</w:t>
      </w:r>
      <w:r w:rsidRPr="00F556B0">
        <w:t xml:space="preserve"> - Ministerstvu kultury se daří udržovat podporu z dotačních programů v rámci programu Kulturní aktivity, Programu poskytování tvůrčích nebo studijních stipendií, výzkumného programu NAKI a v oblasti institucionální podpory rozvoje výzkumných organizací; při příznivém vývoji státního rozpočtu se daří podporu i navyšovat; zcela mimořádně se podařilo v rámci nouzového stavu podpořit v rámci stipendijního programu Nositele tradice lidových řemesel a MK má záměr v této podpoře pokračovat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  <w:bCs/>
        </w:rPr>
        <w:t xml:space="preserve">Novodobé ukotvení péče o nemateriální kulturní dědictví v právním řádu ČR </w:t>
      </w:r>
      <w:r w:rsidRPr="00F556B0">
        <w:t>– přistoupením k Úmluvě je vytvořena právní garance péče o nemateriální kulturní dědictví, Úmluva je v souladu s Ústavou ČR součástí českého právního řádu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Velmi dobré postavení ČR v oblasti zachování a péče o nemateriální kulturní dědictví na mezinárodní úrovni</w:t>
      </w:r>
      <w:r w:rsidRPr="00F556B0">
        <w:t>, aktivní a velmi úspěšná spolupráce v této agendě v rámci UNESCO; aktuálně členství v Mezivládním výboru pro zachování nemateriálního kulturního dědictví (UNESCO – 2020 až 2024)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 xml:space="preserve">Systematické rozvíjení školení v teoretické i praktické rovině výzkumu, dokumentace a péče o TLK na univerzitní půdě, </w:t>
      </w:r>
      <w:r w:rsidRPr="00F556B0">
        <w:t xml:space="preserve">kde jsou především studenti etnologie a příbuzných oborů (např. Arts Management) systematicky školeni prostřednictvím přednášek, seminářů, praktik a diplomových prací v teoretických i praktických dovednostech terénního výzkumu, poznání i uplatnění nástrojů systémové péče o TLK a dalším nemateriálním kulturním dědictví </w:t>
      </w:r>
    </w:p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 xml:space="preserve">2)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může</w:t>
      </w:r>
      <w:r w:rsidRPr="00F556B0">
        <w:rPr>
          <w:i/>
        </w:rPr>
        <w:t xml:space="preserve"> vláda, ať již přímo (např. usnesením, nařízením, vyhláškou apod.) nebo nepřímo (např. usnesením v jiné věci, zavedením inovace technologie, systemizací apod.) ovlivnit, působí v současnosti </w:t>
      </w:r>
      <w:r w:rsidRPr="00F556B0">
        <w:rPr>
          <w:b/>
          <w:bCs/>
          <w:i/>
        </w:rPr>
        <w:t>nepříznivě</w:t>
      </w:r>
      <w:r w:rsidRPr="00F556B0">
        <w:rPr>
          <w:i/>
        </w:rPr>
        <w:t xml:space="preserve"> 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rPr>
          <w:i/>
        </w:rPr>
      </w:pP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F556B0">
        <w:rPr>
          <w:b/>
          <w:bCs/>
        </w:rPr>
        <w:t xml:space="preserve">Nepříznivý vývoj veřejných rozpočtů </w:t>
      </w:r>
      <w:r w:rsidRPr="00F556B0">
        <w:t xml:space="preserve">může významně ovlivnit i financování kultury v oblasti péče o TLK; situace se bude s velkou pravděpodobností dlouhodobě zhoršovat s prohlubujícími se dopady pandemie </w:t>
      </w:r>
      <w:r w:rsidR="00A26687">
        <w:t>C</w:t>
      </w:r>
      <w:r w:rsidRPr="00F556B0">
        <w:t>ovid-19</w:t>
      </w:r>
      <w:r>
        <w:t xml:space="preserve">, očekávanými důsledky energetické krize a války na Ukrajině 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 w:rsidRPr="00F556B0">
        <w:rPr>
          <w:b/>
          <w:bCs/>
        </w:rPr>
        <w:lastRenderedPageBreak/>
        <w:t xml:space="preserve">Nedostatečné prostředky na akvizice, konzervování, restaurování a dokumentaci </w:t>
      </w:r>
      <w:r w:rsidRPr="00F556B0">
        <w:t>jsou problémem muzejních institucí ve všech oblastech činnosti, oblasti TLK se problém týká též citelně, nejde však o problém konkurence soukromých zájemců, ale o</w:t>
      </w:r>
      <w:r w:rsidR="00F5262E">
        <w:t> </w:t>
      </w:r>
      <w:r w:rsidRPr="00F556B0">
        <w:t>obecný nedostatek finančních prostředků, tedy i na konzervování, restaurování a výkup tradičních dokladů lidské činnosti, ať už jde o produkty lidových tvůrců a řemeslníků nebo o hmotné doklady dochovaných tradic a obřadů, řada z nich je dnes již ohrožená na své existenci nebo dochází k inovacím, které bez bližšího studia snadno uniknou odbornému zpracování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 w:rsidRPr="00F556B0">
        <w:rPr>
          <w:b/>
          <w:bCs/>
        </w:rPr>
        <w:t xml:space="preserve">Nedostatek systemizovaných pozic pro zaměstnání školených odborníků na nemateriální kulturní dědictví; </w:t>
      </w:r>
      <w:r w:rsidRPr="00F556B0">
        <w:rPr>
          <w:bCs/>
        </w:rPr>
        <w:t>většina muzejních pracovišť je zaměřena převážně na zkoumání historických reálií a tomu přizpůsobuje obsazení pozic</w:t>
      </w:r>
      <w:r w:rsidRPr="00F556B0">
        <w:rPr>
          <w:b/>
          <w:bCs/>
        </w:rPr>
        <w:t xml:space="preserve"> </w:t>
      </w:r>
      <w:r w:rsidRPr="00F556B0">
        <w:rPr>
          <w:bCs/>
        </w:rPr>
        <w:t>odborných pracovníků – výzkum současné podoby nemateriálního kulturního dědictví se tak dlouhodobě potýká s nedostatkem kvalifikovaných pracovníků, kteří jsou po  teoretické i praktické stránce vybaveni adekvátní sumou znalostních kompetencí pro dokumentaci i konkrétní nástroje péče o současnou TLK na lokální, regionální i</w:t>
      </w:r>
      <w:r>
        <w:rPr>
          <w:bCs/>
        </w:rPr>
        <w:t> </w:t>
      </w:r>
      <w:r w:rsidRPr="00F556B0">
        <w:rPr>
          <w:bCs/>
        </w:rPr>
        <w:t>národní úrovni</w:t>
      </w:r>
    </w:p>
    <w:p w:rsidR="00D03F3F" w:rsidRPr="00F556B0" w:rsidRDefault="00D03F3F" w:rsidP="00D03F3F">
      <w:pPr>
        <w:pStyle w:val="Zkladntextodsazen2"/>
        <w:spacing w:after="0" w:line="240" w:lineRule="auto"/>
        <w:ind w:left="720"/>
        <w:jc w:val="both"/>
      </w:pPr>
    </w:p>
    <w:p w:rsidR="00D03F3F" w:rsidRPr="00F556B0" w:rsidRDefault="00D03F3F" w:rsidP="00D03F3F">
      <w:pPr>
        <w:rPr>
          <w:i/>
        </w:rPr>
      </w:pPr>
      <w:r w:rsidRPr="00F556B0">
        <w:t xml:space="preserve">3)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nemůže</w:t>
      </w:r>
      <w:r w:rsidRPr="00F556B0">
        <w:rPr>
          <w:i/>
        </w:rPr>
        <w:t xml:space="preserve"> vláda ovlivnit (např. geografické faktory, nadnárodní politické vlivy, migrace obyvatel, přírodní podmínky apod.) působí v současnosti </w:t>
      </w:r>
      <w:r w:rsidRPr="00F556B0">
        <w:rPr>
          <w:b/>
          <w:bCs/>
          <w:i/>
        </w:rPr>
        <w:t>příznivě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jc w:val="both"/>
        <w:rPr>
          <w:b/>
          <w:bCs/>
          <w:u w:val="single"/>
        </w:rPr>
      </w:pP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  <w:bCs/>
        </w:rPr>
        <w:t>Silná tradice</w:t>
      </w:r>
      <w:r w:rsidRPr="00F556B0">
        <w:t xml:space="preserve"> – v naší zemi nadále existuje velké bohatství živé a dochované TLK, v mnoha regionech jsou dosud živé prvky TLK součástí každodenního života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>Příznivý postoj veřejnosti</w:t>
      </w:r>
      <w:r w:rsidRPr="00F556B0">
        <w:t xml:space="preserve"> – velkou pomocí v oblasti péče o TLK je příznivé přijetí záměrů Ministerstva kultury odbornou i laickou veřejností a orgány místní a krajské samosprávy; aktivní podíl dobrovolných spolupracovníků, jimž je poskytována soustavná metodická pomoc a mnohdy i pomoc finanční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>Výrazný podíl aktivit spolků a místních komunit</w:t>
      </w:r>
      <w:r w:rsidRPr="00F556B0">
        <w:t xml:space="preserve"> – dlouhodobě dochází k přirozenému udržování a předávání různých prvků TLK uvnitř místních společenství nebo prostřednictvím aktivit spolků jako jsou např. sbory dobrovolných hasičů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 xml:space="preserve">Prezentace folkloru a bohatství současného folklorního hnutí </w:t>
      </w:r>
      <w:r w:rsidRPr="00F556B0">
        <w:t>– ČR má vysoký počet folklorních přehlídek a festivalů rozprostřených po celém svém území; folklorní hnutí je příznivě ovlivňováno multigeneračními snahami navracet se k tradicím, seznamovat se s prvky TLK a začleňovat je do běžného života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F556B0">
        <w:rPr>
          <w:b/>
        </w:rPr>
        <w:t xml:space="preserve">Zájem o TLK v rámci cestovního ruchu </w:t>
      </w:r>
      <w:r w:rsidRPr="00F556B0">
        <w:t>může přinést zvýšení obecného povědomí o zvycích a obyčejích našich regionů, je však třeba uplatňovat citlivý přístup, který nenaruší živé a přirozené udržování statků a nezpůsobí nežádoucí inovace</w:t>
      </w:r>
      <w:r>
        <w:t>; příkladem vhodné prezentace je např. provádění vesnických masopustních obchůzek na Hlinecku v rámci kulturní nabídky Muzea v přírodě Vysočina (Veselý Kopec), kterou se eliminuje příliv turistů do autentických míst konání obchůzek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F556B0">
        <w:t xml:space="preserve"> </w:t>
      </w:r>
      <w:r w:rsidRPr="00F556B0">
        <w:rPr>
          <w:b/>
        </w:rPr>
        <w:t xml:space="preserve">Zájem samospráv na využití TLK pro vlastní prezentaci, reprezentaci a identifikaci </w:t>
      </w:r>
      <w:r w:rsidRPr="00F556B0">
        <w:t>dokládá např. udělování regionálních ocenění nositelům kulturních statků a vedení krajských seznamů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F556B0">
        <w:rPr>
          <w:b/>
          <w:bCs/>
        </w:rPr>
        <w:t xml:space="preserve">Zájem zahraničních návštěvníků </w:t>
      </w:r>
      <w:r w:rsidRPr="00F556B0">
        <w:t xml:space="preserve">o prezentaci a produkci TLK, zejména lidovou hudbu a tanec, řemeslné výrobky apod. 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bookmarkStart w:id="1" w:name="__DdeLink__457_485623907"/>
      <w:r w:rsidRPr="00F556B0">
        <w:rPr>
          <w:b/>
          <w:bCs/>
        </w:rPr>
        <w:t xml:space="preserve">Potenciál k mezinárodní spolupráci, </w:t>
      </w:r>
      <w:r w:rsidRPr="00F556B0">
        <w:t>a to jak v rámci příhraniční a regionální spolupráce, tak v rámci UNESCO; jde zejména o dokumentační a prezentační projekty, výměnu sbírkových muzejních fondů a koordinovaný postup při přípravách nadnárodních nominací k zápisu do Reprezentativního seznamu nemateriálního kulturního dědictví lidstva a výměnu zkušeností mezi odborníky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F556B0">
        <w:rPr>
          <w:b/>
          <w:bCs/>
        </w:rPr>
        <w:lastRenderedPageBreak/>
        <w:t xml:space="preserve">Využití některých aspektů tradiční lidové kultury v oblasti tzv. kreativních průmyslů a jako významných činitelů udržitelného rozvoje </w:t>
      </w:r>
      <w:r w:rsidRPr="00F556B0">
        <w:rPr>
          <w:bCs/>
        </w:rPr>
        <w:t>– např. řemeslných nebo agrotechnických postupů, ale i dalších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/>
          <w:bCs/>
        </w:rPr>
        <w:t>Funkční</w:t>
      </w:r>
      <w:r w:rsidRPr="00F556B0">
        <w:rPr>
          <w:b/>
          <w:bCs/>
        </w:rPr>
        <w:t xml:space="preserve"> institucionální síť péče o TLK na regionální a národní úrovni</w:t>
      </w:r>
    </w:p>
    <w:bookmarkEnd w:id="1"/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>4</w:t>
      </w:r>
      <w:r w:rsidRPr="00F556B0">
        <w:rPr>
          <w:i/>
        </w:rPr>
        <w:t xml:space="preserve">) Jaké hlavní faktory, které </w:t>
      </w:r>
      <w:r w:rsidRPr="00F556B0">
        <w:rPr>
          <w:b/>
          <w:bCs/>
          <w:i/>
        </w:rPr>
        <w:t>nemůže</w:t>
      </w:r>
      <w:r w:rsidRPr="00F556B0">
        <w:rPr>
          <w:i/>
        </w:rPr>
        <w:t xml:space="preserve"> vláda ovlivnit (např. geografické faktory, nadnárodní politické vlivy, migrace obyvatel, přírodní podmínky apod.) působí v současnosti </w:t>
      </w:r>
      <w:r w:rsidRPr="00F556B0">
        <w:rPr>
          <w:b/>
          <w:bCs/>
          <w:i/>
        </w:rPr>
        <w:t>nepříznivě</w:t>
      </w:r>
      <w:r w:rsidRPr="00F556B0">
        <w:rPr>
          <w:i/>
        </w:rPr>
        <w:t xml:space="preserve"> 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rPr>
          <w:b/>
          <w:bCs/>
          <w:i/>
          <w:u w:val="single"/>
        </w:rPr>
      </w:pP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</w:rPr>
        <w:t xml:space="preserve">Klesající počet nositelů tradic, tradičních znalostí a dovedností – </w:t>
      </w:r>
      <w:r w:rsidRPr="00F556B0">
        <w:t>při generační obměně se nedaří plně nahrazovat starší generaci mladšími nositeli, dochází tak celkově k jejich úbytku; při výkonu tradičního řemesla jako živnosti je častým důvodem nízké ohodnocení řemeslné práce, případně nízká poptávka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</w:rPr>
        <w:t xml:space="preserve">Neetické nakládání s projevy tradiční lidové kultury, jejich nositeli a dokumentačním materiálem těchto projevů a nositelů </w:t>
      </w:r>
      <w:r w:rsidRPr="00F556B0">
        <w:t>– zkreslování a záměrné zneužití této součásti kulturního dědictví komerčními subjekty, případně zneužívání v rámci různých ideologií, nesprávné informování v médiích, způsobené často povrchním přístupem tvůrců</w:t>
      </w:r>
    </w:p>
    <w:p w:rsidR="00D03F3F" w:rsidRPr="00045DBB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>
        <w:t>Neustálý tlak tržní nabídky na estetické cítění populace a s tím související trvalé ohrožení regionální a národní identity v důsledku globalizace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 w:rsidRPr="00F556B0">
        <w:rPr>
          <w:b/>
          <w:bCs/>
        </w:rPr>
        <w:t xml:space="preserve">Negativní vliv zvýšeného zájmu turistů v lokalitách s významnou tradicí </w:t>
      </w:r>
      <w:r w:rsidRPr="00F556B0">
        <w:t>– velký příliv turistů a návštěvníků způsobený masivní reklamou může přispět k narůstání nežádoucích jevů v rámci akcí úzce spojených s prováděním lidových zvyků a obyčejů; snahy místních zvládat příliv turistů mohou mít negativní vliv na průběh a význam těchto akcí a zvýšený turistický zájem může vést k nevhodné komercionalizaci projevů tradiční lidové kultury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  <w:bCs/>
        </w:rPr>
        <w:t xml:space="preserve">Nepříznivý vliv pandemie nemoci Covid-19 na životaschopnost nemateriálních prvků TLK </w:t>
      </w:r>
      <w:r w:rsidRPr="00F556B0">
        <w:t>– ať už se jedná o práci lidových řemeslníků nebo o nemožnost uskutečňovat tradiční akce a udržovat tradiční zvyky a obyčeje v místních komunitách</w:t>
      </w:r>
    </w:p>
    <w:p w:rsidR="00D03F3F" w:rsidRPr="00F556B0" w:rsidRDefault="00D03F3F" w:rsidP="00D03F3F">
      <w:pPr>
        <w:numPr>
          <w:ilvl w:val="0"/>
          <w:numId w:val="5"/>
        </w:numPr>
        <w:suppressAutoHyphens/>
        <w:ind w:left="426" w:hanging="426"/>
        <w:contextualSpacing/>
        <w:jc w:val="both"/>
        <w:rPr>
          <w:b/>
          <w:bCs/>
          <w:u w:val="single"/>
        </w:rPr>
      </w:pPr>
      <w:r w:rsidRPr="00F556B0">
        <w:rPr>
          <w:b/>
        </w:rPr>
        <w:t>Nedostatečná úroveň předávání znalostí o TLK</w:t>
      </w:r>
      <w:r w:rsidRPr="00F556B0">
        <w:t xml:space="preserve"> v rámci školního a mimoškolního vzdělávání – přetrvává nedostatečná úroveň seznamování s regionální TLK a jejím významem; problém je markantní ve velkých aglomeracích a v místech s nízkou úrovní zachování a udržování lokálních tradic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Ohrožení tradičních lidových řemesel tlakem masové produkce a prodeje levných a nekvalitních nápodob výrobků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Nekvalitní veřejná prezentace a případné zneužívání fenoménů TLK</w:t>
      </w:r>
      <w:r w:rsidRPr="00F556B0">
        <w:t xml:space="preserve"> – to vede k znevážení TLK a k záměně těchto prvků</w:t>
      </w:r>
      <w:r w:rsidRPr="00F556B0">
        <w:rPr>
          <w:color w:val="FF0000"/>
        </w:rPr>
        <w:t xml:space="preserve"> </w:t>
      </w:r>
      <w:r w:rsidRPr="00F556B0">
        <w:t>při jejich prezentaci za prázdnou nápodobu; negativní vliv konzumerismu a negativní vliv cestovního ruchu; ke zneužití TLK může docházet i v rámci šíření národnostní, etnické, genderové a jiné nesnášenlivosti a xenofobie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Prezentace tradiční lidové kultury v českých médiích</w:t>
      </w:r>
      <w:r w:rsidRPr="00F556B0">
        <w:t xml:space="preserve"> je i přes mírné zlepšení stále nedostatečná a často povrchní</w:t>
      </w:r>
      <w:r>
        <w:t>, nevhodná</w:t>
      </w:r>
      <w:r w:rsidRPr="00F556B0">
        <w:t xml:space="preserve"> až zavádějící, přestože státní instituce i spolky trvale vyvíjejí tlak na to, aby se tato situace změnila.</w:t>
      </w:r>
    </w:p>
    <w:p w:rsidR="00D03F3F" w:rsidRDefault="00D03F3F" w:rsidP="00D03F3F"/>
    <w:p w:rsidR="00D03F3F" w:rsidRDefault="00D03F3F" w:rsidP="00D03F3F">
      <w:pPr>
        <w:spacing w:after="200" w:line="276" w:lineRule="auto"/>
      </w:pPr>
      <w:r>
        <w:br w:type="page"/>
      </w:r>
    </w:p>
    <w:p w:rsidR="00D03F3F" w:rsidRPr="00F556B0" w:rsidRDefault="00D03F3F" w:rsidP="00D03F3F"/>
    <w:p w:rsidR="00D03F3F" w:rsidRPr="00F1193B" w:rsidRDefault="00D03F3F" w:rsidP="00D03F3F">
      <w:pPr>
        <w:pStyle w:val="Odstavecseseznamem"/>
        <w:jc w:val="center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>III. Konkrétní úkoly na úrovni ministerstva, krajů a odborných institucí</w:t>
      </w:r>
    </w:p>
    <w:p w:rsidR="00D03F3F" w:rsidRPr="00F556B0" w:rsidRDefault="00D03F3F" w:rsidP="00D03F3F">
      <w:pPr>
        <w:rPr>
          <w:b/>
          <w:bCs/>
        </w:rPr>
      </w:pPr>
    </w:p>
    <w:p w:rsidR="00D03F3F" w:rsidRPr="00F556B0" w:rsidRDefault="00D03F3F" w:rsidP="00D03F3F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t>Identifikace projevů tradiční lidové kultury a dalších složek nemateriálního kulturního dědictví</w:t>
      </w: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left="426" w:hanging="426"/>
        <w:contextualSpacing/>
        <w:jc w:val="both"/>
      </w:pPr>
      <w:r w:rsidRPr="00F556B0">
        <w:t>1.1 provádět průběžně identifikaci projevů TLK a používat její výsledky pro plánování dalších činností v oblasti péče o TLK</w:t>
      </w:r>
    </w:p>
    <w:p w:rsidR="00D03F3F" w:rsidRPr="00F556B0" w:rsidRDefault="00D03F3F" w:rsidP="00D03F3F">
      <w:pPr>
        <w:contextualSpacing/>
        <w:jc w:val="both"/>
        <w:rPr>
          <w:i/>
        </w:rPr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TLK, Ministerstvo kultury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ind w:left="426"/>
        <w:contextualSpacing/>
        <w:jc w:val="both"/>
      </w:pPr>
    </w:p>
    <w:p w:rsidR="00D03F3F" w:rsidRPr="00F556B0" w:rsidRDefault="00D03F3F" w:rsidP="00D03F3F">
      <w:pPr>
        <w:pStyle w:val="Odstavecseseznamem"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pasportizovat, etnokartograficky a jinými moderními metodami zpracovávat výskyt žijících identifikovaných projevů TLK na území ČR včetně průběžné aktualizace tohoto zpracování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TLK, Etnologický ústav AV ČR, v.v.i</w:t>
      </w:r>
      <w:r>
        <w:rPr>
          <w:i/>
        </w:rPr>
        <w:t>.</w:t>
      </w:r>
      <w:r w:rsidRPr="00F556B0">
        <w:rPr>
          <w:i/>
        </w:rPr>
        <w:t xml:space="preserve">, </w:t>
      </w:r>
      <w:r>
        <w:rPr>
          <w:i/>
        </w:rPr>
        <w:t>vysoké školy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a využívat výsledků této činnosti pro operativní a koncepční opatření na spravovaném území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podporovat práce na vytváření a upřesňování standardního názvosloví projevů TLK, včetně kategorizace prvků a reálií postihnutelných etnografickými metodami pro systém identifikace a dokumentace TLK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NÚLK, Etnologickým ústavem AV ČR, v.v.i</w:t>
      </w:r>
      <w:r>
        <w:rPr>
          <w:i/>
        </w:rPr>
        <w:t>.</w:t>
      </w:r>
      <w:r w:rsidRPr="00F556B0">
        <w:rPr>
          <w:i/>
        </w:rPr>
        <w:t>, a Českou národopisnou společností, z. s.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využívat a doplňovat na všech úrovních síť dobrovolných neprofesionálních dokumentátorů (zpravodajů) pro identifikaci a dokumentaci projevů TLK</w:t>
      </w: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 a Českou národopisnou společností, z. s.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</w:p>
    <w:p w:rsidR="00D03F3F" w:rsidRPr="00D91105" w:rsidRDefault="00D03F3F" w:rsidP="00D03F3F">
      <w:pPr>
        <w:ind w:left="426" w:hanging="426"/>
        <w:contextualSpacing/>
        <w:jc w:val="both"/>
        <w:rPr>
          <w:i/>
        </w:rPr>
      </w:pPr>
      <w:r w:rsidRPr="00D91105">
        <w:t>1.5</w:t>
      </w:r>
      <w:r>
        <w:rPr>
          <w:i/>
        </w:rPr>
        <w:t xml:space="preserve">. </w:t>
      </w:r>
      <w:r>
        <w:t xml:space="preserve">na základě odborných konzultací vytvořit metodiku pro identifikaci jevů nemateriálního kulturního dědictví v plném rozsahu dle Úmluvy o zachování nemateriálního kulturního </w:t>
      </w:r>
      <w:r>
        <w:lastRenderedPageBreak/>
        <w:t>dědictví a uskutečnit konzultace ve věci péče o jevy nemateriálního kulturního dědictví spadající kompetenčně do gesce jiných ministerstev</w:t>
      </w:r>
    </w:p>
    <w:p w:rsidR="00D03F3F" w:rsidRPr="00D91105" w:rsidRDefault="00D03F3F" w:rsidP="00D03F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D03F3F" w:rsidRPr="00D91105" w:rsidRDefault="00D03F3F" w:rsidP="00D03F3F">
      <w:pPr>
        <w:ind w:left="426"/>
        <w:contextualSpacing/>
        <w:jc w:val="both"/>
        <w:rPr>
          <w:bCs/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 a Českou národopisnou společností, z. s</w:t>
      </w:r>
      <w:r>
        <w:rPr>
          <w:i/>
        </w:rPr>
        <w:t xml:space="preserve">., </w:t>
      </w:r>
      <w:r w:rsidRPr="00294F8C">
        <w:rPr>
          <w:bCs/>
          <w:i/>
        </w:rPr>
        <w:t xml:space="preserve">Etnologickým ústavem AV </w:t>
      </w:r>
      <w:r w:rsidR="000B2401">
        <w:rPr>
          <w:bCs/>
          <w:i/>
        </w:rPr>
        <w:t xml:space="preserve">ČR, v.v.i. </w:t>
      </w:r>
      <w:r w:rsidRPr="00294F8C">
        <w:rPr>
          <w:bCs/>
          <w:i/>
        </w:rPr>
        <w:t>a dotčenými vysokými školami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</w:t>
      </w:r>
      <w:r>
        <w:rPr>
          <w:i/>
        </w:rPr>
        <w:t>do konce roku 2025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t>Dokumentace projevů tradiční lidové kultury</w:t>
      </w:r>
    </w:p>
    <w:p w:rsidR="00D03F3F" w:rsidRPr="00F556B0" w:rsidRDefault="00D03F3F" w:rsidP="00D03F3F">
      <w:pPr>
        <w:ind w:firstLine="708"/>
        <w:jc w:val="both"/>
        <w:rPr>
          <w:b/>
          <w:bCs/>
        </w:rPr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ve smyslu „Koncepce identifikace a dokumentace tradiční lidové kultury“ zajišťovat periodicky dokumentaci projevů TLK, zejména těch, které jsou bezprostředně ohroženy; tyto dokumentovat v pravidelných cyklech podle stupně ohrožení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>ými pracovišti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 muzeích s etnografickými sbírkami a na univerzitních pracovištích vytvářet odborné a ekonomické podmínky pro systematické výzkumy a dokumentaci projevů TLK v terénu a</w:t>
      </w:r>
      <w:r>
        <w:t> </w:t>
      </w:r>
      <w:r w:rsidRPr="00F556B0">
        <w:t>pro archivní výzkumy a rešerše ve specializovaných fondech archivů, muzeí a knihoven; prioritně se věnovat jevům bezprostředně ohroženým zánikem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  <w:r>
        <w:rPr>
          <w:i/>
        </w:rPr>
        <w:t>a další krajské paměťové instituce s etnografickými sbírkami a odborných etnografických zázemím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48449C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 odborných a výzkumných institucích pokračovat v budování informačních databází z oblasti TLK; v souladu s platnými zákony zpřístupnit tyto databáze zdarma pro vědecké, vzdělávací a další účely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vést a průběžně doplňovat seznamy nemateriálních statků TLK na národní úrovni a</w:t>
      </w:r>
      <w:r>
        <w:t> </w:t>
      </w:r>
      <w:r w:rsidRPr="00F556B0">
        <w:t xml:space="preserve">na úrovni krajů; </w:t>
      </w:r>
      <w:r>
        <w:t xml:space="preserve">tyto seznamy veřejně prezentovat; </w:t>
      </w:r>
      <w:r w:rsidRPr="00F556B0">
        <w:t xml:space="preserve">periodicky sledovat a dokumentovat proměny a užití </w:t>
      </w:r>
      <w:r>
        <w:t>statků zapsaných v těchto seznamech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lastRenderedPageBreak/>
        <w:t>Zajistí:</w:t>
      </w:r>
      <w:r w:rsidRPr="00F556B0">
        <w:rPr>
          <w:i/>
        </w:rPr>
        <w:t xml:space="preserve"> NÚLK</w:t>
      </w:r>
      <w:r>
        <w:rPr>
          <w:i/>
        </w:rPr>
        <w:t>,</w:t>
      </w:r>
      <w:r w:rsidRPr="00F556B0">
        <w:rPr>
          <w:i/>
        </w:rPr>
        <w:t> regionální odborn</w:t>
      </w:r>
      <w:r>
        <w:rPr>
          <w:i/>
        </w:rPr>
        <w:t>á pracoviště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zpracovávat periodické zprávy k implementaci Úmluvy podle mezinárodního zadání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 xml:space="preserve">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rozvíjet a podporovat odbornou, informační, školící a metodologickou činnost regionálních odborných pracovišť pro péči o TLK v krajích a Národního ústavu lidové kultury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</w:t>
      </w:r>
      <w:r>
        <w:rPr>
          <w:i/>
        </w:rPr>
        <w:t xml:space="preserve">, </w:t>
      </w:r>
      <w:r w:rsidRPr="00F556B0">
        <w:rPr>
          <w:i/>
        </w:rPr>
        <w:t>regionální odborn</w:t>
      </w:r>
      <w:r>
        <w:rPr>
          <w:i/>
        </w:rPr>
        <w:t>á pracoviště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podporovat spolupráci Ministerstva kultury, Národního ústavu lidové kultury a regionálních odborných pracovišť pro péči o TLK s vysokými školami v oblasti dokumentace a výzkumu TLK při terénních výzkumech, zpracování studentských diplomových, bakalářských, ročníkových a seminárních prací a celkově tak posílit profesionální připravenost mladých odborníků pro práci v muzeích a výzkumných institucích.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9C60A3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firstLine="708"/>
        <w:jc w:val="both"/>
        <w:rPr>
          <w:b/>
          <w:bCs/>
        </w:rPr>
      </w:pPr>
      <w:r w:rsidRPr="00F556B0">
        <w:rPr>
          <w:b/>
          <w:bCs/>
        </w:rPr>
        <w:t>3. Uchovávání, šíření, prezentace a předávání hodnot tradiční lidové kultury</w:t>
      </w:r>
    </w:p>
    <w:p w:rsidR="00D03F3F" w:rsidRPr="00F556B0" w:rsidRDefault="00D03F3F" w:rsidP="00D03F3F">
      <w:pPr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vyhodnotit výsledky stávajícího systému péče o TLK ve spolupráci Národního ústavu lidové kultury, regionálních pracovišť pro péči o TLK v krajích, dalších odborných institucí a nositelů tradic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Česká národopisná společnosti, z. s.,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prostřednictvím specializovaných muzejních programů podporovat využívání poznatků o</w:t>
      </w:r>
      <w:r>
        <w:t> </w:t>
      </w:r>
      <w:r w:rsidRPr="00F556B0">
        <w:t xml:space="preserve">TLK </w:t>
      </w:r>
      <w:r>
        <w:t xml:space="preserve">v rámci celoživotního neformálního vzdělávání, </w:t>
      </w:r>
      <w:r w:rsidRPr="00F556B0">
        <w:t>ve výchovně vzdělávacím procesu ve školách všech stupňů</w:t>
      </w:r>
      <w:r>
        <w:t>, při akcích pro veřejnost na regionální úrovni podporovat pořádání workshopů a odborných kurzů na vybraná témata z oblasti TLK. Z</w:t>
      </w:r>
      <w:r w:rsidRPr="00F556B0">
        <w:t xml:space="preserve">a tímto účelem </w:t>
      </w:r>
      <w:r>
        <w:t>vytvářet učební pomůcky a</w:t>
      </w:r>
      <w:r w:rsidRPr="00F556B0">
        <w:t xml:space="preserve"> pracovní listy </w:t>
      </w:r>
      <w:r>
        <w:t>a volně je šířit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</w:t>
      </w:r>
      <w:r>
        <w:rPr>
          <w:i/>
        </w:rPr>
        <w:t>,</w:t>
      </w:r>
      <w:r w:rsidRPr="00F556B0">
        <w:rPr>
          <w:i/>
        </w:rPr>
        <w:t> regionáln</w:t>
      </w:r>
      <w:r>
        <w:rPr>
          <w:i/>
        </w:rPr>
        <w:t>í</w:t>
      </w:r>
      <w:r w:rsidRPr="00F556B0">
        <w:rPr>
          <w:i/>
        </w:rPr>
        <w:t xml:space="preserve"> odborn</w:t>
      </w:r>
      <w:r>
        <w:rPr>
          <w:i/>
        </w:rPr>
        <w:t xml:space="preserve">á pracoviště pro TLK a další muzejní instituce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762BB8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formou výběrových dotačních řízení a stipendií zaměřených na péči o TLK podporovat z veřejných rozpočtů účinnou péči o TLK, její uchování, dokumentaci</w:t>
      </w:r>
      <w:r>
        <w:t>,</w:t>
      </w:r>
      <w:r w:rsidRPr="00F556B0">
        <w:t xml:space="preserve"> prezentaci</w:t>
      </w:r>
      <w:r>
        <w:t xml:space="preserve">, marketing a PR této oblasti a to na úrovni Ministerstva kultury, krajů i obcí; při výběru podpořených projektů přihlížet ke kulturní hodnotě podporovaných projektů 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kraje, obce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</w:t>
      </w:r>
      <w:r>
        <w:rPr>
          <w:i/>
        </w:rPr>
        <w:t xml:space="preserve">obcím a městům </w:t>
      </w:r>
      <w:r w:rsidRPr="00F556B0">
        <w:rPr>
          <w:i/>
        </w:rPr>
        <w:t>podporovat</w:t>
      </w:r>
      <w:r>
        <w:rPr>
          <w:i/>
        </w:rPr>
        <w:t xml:space="preserve"> tuto činnost v rámci obecních rozpočtů</w:t>
      </w:r>
      <w:r w:rsidRPr="00F556B0">
        <w:rPr>
          <w:i/>
        </w:rPr>
        <w:t xml:space="preserve">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0D2D1A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dotační okruhy Ministerstva kultury pro regionální odborná pracoviště pro péči o TLK cíleně směřovat k využití výsledků dotazníkových šetření „Identifikace a dokumentace tradiční lidové kultury v ČR“ (2006 – 2010) pro průběžnou dokumentaci projevů tradiční lidové kultury; zajistit dle osnovy materiálu „Elektronická metodická příručka pro další využití výsledků výzkumu Identifikace a dokumentace tradiční lidové kultury v ČR“ vytvořeného Národním ústavem lidové kultury zpracování výstupů s cílem zajistit porovnatelnost aktuálních údajů s významnými soubory dokumentačních dat, které byly pořízeny v</w:t>
      </w:r>
      <w:r>
        <w:t> </w:t>
      </w:r>
      <w:r w:rsidRPr="00F556B0">
        <w:t>minulosti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>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Pr="005C2213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Hypertextovodkaz"/>
        </w:rPr>
      </w:pPr>
      <w:r w:rsidRPr="00F556B0">
        <w:t>provozovat a průběžně aktualizovat centrální veřejnou elektronickou databázi věnující se TLK na území ČR</w:t>
      </w:r>
      <w:r>
        <w:t>:</w:t>
      </w:r>
      <w:r w:rsidRPr="00F556B0">
        <w:t xml:space="preserve"> </w:t>
      </w:r>
      <w:hyperlink r:id="rId15" w:history="1">
        <w:r w:rsidRPr="00F556B0">
          <w:rPr>
            <w:rStyle w:val="Hypertextovodkaz"/>
          </w:rPr>
          <w:t>www.lidovakultura.cz</w:t>
        </w:r>
      </w:hyperlink>
    </w:p>
    <w:p w:rsidR="00D03F3F" w:rsidRPr="005C2213" w:rsidRDefault="00D03F3F" w:rsidP="00D03F3F">
      <w:pPr>
        <w:pStyle w:val="Odstavecseseznamem"/>
        <w:ind w:left="360"/>
        <w:jc w:val="both"/>
        <w:rPr>
          <w:rStyle w:val="Hypertextovodkaz"/>
        </w:rPr>
      </w:pPr>
    </w:p>
    <w:p w:rsidR="00D03F3F" w:rsidRPr="005C2213" w:rsidRDefault="00D03F3F" w:rsidP="00D03F3F">
      <w:pPr>
        <w:pStyle w:val="Odstavecseseznamem"/>
        <w:ind w:left="360"/>
        <w:jc w:val="both"/>
        <w:rPr>
          <w:i/>
        </w:rPr>
      </w:pPr>
      <w:r w:rsidRPr="005C2213">
        <w:rPr>
          <w:i/>
          <w:u w:val="single"/>
        </w:rPr>
        <w:t>Zajistí:</w:t>
      </w:r>
      <w:r w:rsidRPr="005C2213">
        <w:rPr>
          <w:i/>
        </w:rPr>
        <w:t xml:space="preserve"> NÚLK ve spolupráci s regionálními odbornými pracovišti pro TLK</w:t>
      </w:r>
    </w:p>
    <w:p w:rsidR="00D03F3F" w:rsidRPr="005C2213" w:rsidRDefault="00D03F3F" w:rsidP="00D03F3F">
      <w:pPr>
        <w:ind w:firstLine="360"/>
        <w:contextualSpacing/>
        <w:jc w:val="both"/>
        <w:rPr>
          <w:i/>
        </w:rPr>
      </w:pPr>
      <w:r w:rsidRPr="005C2213">
        <w:rPr>
          <w:i/>
          <w:u w:val="single"/>
        </w:rPr>
        <w:t>Termín</w:t>
      </w:r>
      <w:r w:rsidRPr="005C2213">
        <w:rPr>
          <w:i/>
        </w:rPr>
        <w:t>: průběžně</w:t>
      </w:r>
    </w:p>
    <w:p w:rsidR="00D03F3F" w:rsidRPr="005C2213" w:rsidRDefault="00D03F3F" w:rsidP="00D03F3F">
      <w:pPr>
        <w:pStyle w:val="Odstavecseseznamem"/>
        <w:ind w:left="360"/>
        <w:jc w:val="both"/>
        <w:rPr>
          <w:i/>
        </w:rPr>
      </w:pPr>
      <w:r w:rsidRPr="005C2213">
        <w:rPr>
          <w:i/>
          <w:u w:val="single"/>
        </w:rPr>
        <w:t>Financování:</w:t>
      </w:r>
      <w:r w:rsidRPr="005C2213">
        <w:rPr>
          <w:i/>
        </w:rPr>
        <w:t xml:space="preserve"> v rámci běžných rozpočtů dotčených subjektů</w:t>
      </w:r>
    </w:p>
    <w:p w:rsidR="00D03F3F" w:rsidRDefault="00D03F3F" w:rsidP="00D03F3F">
      <w:pPr>
        <w:pStyle w:val="Odstavecseseznamem"/>
        <w:ind w:left="360"/>
        <w:jc w:val="both"/>
        <w:rPr>
          <w:b/>
        </w:rPr>
      </w:pPr>
    </w:p>
    <w:p w:rsidR="00E01481" w:rsidRDefault="00E01481" w:rsidP="00D03F3F">
      <w:pPr>
        <w:pStyle w:val="Odstavecseseznamem"/>
        <w:ind w:left="360"/>
        <w:jc w:val="both"/>
        <w:rPr>
          <w:b/>
        </w:rPr>
      </w:pPr>
    </w:p>
    <w:p w:rsidR="00E01481" w:rsidRDefault="00E01481" w:rsidP="00D03F3F">
      <w:pPr>
        <w:pStyle w:val="Odstavecseseznamem"/>
        <w:ind w:left="360"/>
        <w:jc w:val="both"/>
        <w:rPr>
          <w:b/>
        </w:rPr>
      </w:pPr>
    </w:p>
    <w:p w:rsidR="00E01481" w:rsidRPr="005C2213" w:rsidRDefault="00E01481" w:rsidP="00D03F3F">
      <w:pPr>
        <w:pStyle w:val="Odstavecseseznamem"/>
        <w:ind w:left="360"/>
        <w:jc w:val="both"/>
        <w:rPr>
          <w:b/>
        </w:rPr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F586C">
        <w:lastRenderedPageBreak/>
        <w:t>využívat</w:t>
      </w:r>
      <w:r w:rsidRPr="00F556B0">
        <w:t xml:space="preserve"> a podle potřeby doplňovat formy a způsoby veřejného oceňování jednotlivců, kolektivů, těles a organizací, které významně přispívají k naplňování péče o TLK na úrovni státu, krajů i obcí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>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</w:t>
      </w:r>
      <w:r>
        <w:rPr>
          <w:i/>
        </w:rPr>
        <w:t>; obcím a městům k přímé realizaci</w:t>
      </w:r>
      <w:r w:rsidRPr="00F556B0">
        <w:rPr>
          <w:i/>
        </w:rPr>
        <w:t xml:space="preserve">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pokračovat v činnosti Národní rady pro tradiční lidovou kulturu, která působí jako poradní orgán ministra kultury pro péči o TLK v</w:t>
      </w:r>
      <w:r>
        <w:t> </w:t>
      </w:r>
      <w:r w:rsidRPr="00F556B0">
        <w:t>ČR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>Ministerstvo kultury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zabezpečit dostupnost kvalitních informací o TLK odborné i široké veřejnosti</w:t>
      </w:r>
      <w:r>
        <w:t xml:space="preserve"> na úrovni celostátní prostřednictvím </w:t>
      </w:r>
      <w:hyperlink r:id="rId16" w:history="1">
        <w:r w:rsidRPr="00E953B7">
          <w:rPr>
            <w:rStyle w:val="Hypertextovodkaz"/>
          </w:rPr>
          <w:t>www.lidovakultura.cz</w:t>
        </w:r>
      </w:hyperlink>
      <w:r>
        <w:t xml:space="preserve"> a iniciovat vznik webů věnovaných kulturnímu dědictví jednotlivých regionů v gesci RP 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</w:t>
      </w:r>
      <w:r>
        <w:rPr>
          <w:i/>
        </w:rPr>
        <w:t>,</w:t>
      </w:r>
      <w:r w:rsidRPr="00F556B0">
        <w:rPr>
          <w:i/>
        </w:rPr>
        <w:t> regionální odborn</w:t>
      </w:r>
      <w:r>
        <w:rPr>
          <w:i/>
        </w:rPr>
        <w:t xml:space="preserve">á pracoviště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školy, Česká národopisná společnost, z. s.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veřejně prezentovat odbornou činnost paměťových a výzkumných institucí a organizací prostřednictvím odborných periodik, expozic, výstav, on-line zdrojů a vzdělávacích akcí; k živým ukázkám projevů TLK využívat muzea v přírodě jako ideální prostředí pro</w:t>
      </w:r>
      <w:r>
        <w:t> </w:t>
      </w:r>
      <w:r w:rsidRPr="00F556B0">
        <w:t>prezentaci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</w:t>
      </w:r>
      <w:r>
        <w:rPr>
          <w:i/>
        </w:rPr>
        <w:t xml:space="preserve">, </w:t>
      </w:r>
      <w:r w:rsidRPr="00F556B0">
        <w:rPr>
          <w:i/>
        </w:rPr>
        <w:t>regionáln</w:t>
      </w:r>
      <w:r>
        <w:rPr>
          <w:i/>
        </w:rPr>
        <w:t>í</w:t>
      </w:r>
      <w:r w:rsidRPr="00F556B0">
        <w:rPr>
          <w:i/>
        </w:rPr>
        <w:t xml:space="preserve"> odborn</w:t>
      </w:r>
      <w:r>
        <w:rPr>
          <w:i/>
        </w:rPr>
        <w:t xml:space="preserve">á pracoviště pro TLK, </w:t>
      </w:r>
      <w:r w:rsidRPr="00F556B0">
        <w:rPr>
          <w:i/>
        </w:rPr>
        <w:t>Etnologický ústav AV ČR, v.v.i</w:t>
      </w:r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školy, Česká národopisná společnost, z. s.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0D2D1A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9C60A3" w:rsidRDefault="00D03F3F" w:rsidP="00D03F3F">
      <w:pPr>
        <w:tabs>
          <w:tab w:val="left" w:pos="1321"/>
        </w:tabs>
        <w:jc w:val="both"/>
        <w:rPr>
          <w:i/>
        </w:rPr>
      </w:pPr>
    </w:p>
    <w:p w:rsidR="00D03F3F" w:rsidRPr="000D2D1A" w:rsidRDefault="00D03F3F" w:rsidP="00D03F3F">
      <w:pPr>
        <w:ind w:left="426" w:hanging="426"/>
        <w:contextualSpacing/>
        <w:jc w:val="both"/>
      </w:pPr>
      <w:r w:rsidRPr="000D2D1A">
        <w:t>3.10 zapojit Metodické centrum pro muzea v přírodě při Národním muzeu v přírodě do systému péče o TLK s cílem vyhodnotit roli muzeí v přírodě při implementaci Úmluvy a hledat inovativní způsoby, jakými mohou muzea v přírodě poskytovat pomoc a podporu nositelům nemateriálních kulturních prvků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>Národní muzeum v přírodě v Rožnově p. R. ve spolupráci s NÚLK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5C2213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lastRenderedPageBreak/>
        <w:t xml:space="preserve">Mezinárodní spolupráce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podporovat mezinárodní spolupráci v oblasti prezentace</w:t>
      </w:r>
      <w:r>
        <w:t>,</w:t>
      </w:r>
      <w:r w:rsidRPr="00F556B0">
        <w:t xml:space="preserve"> ochrany</w:t>
      </w:r>
      <w:r>
        <w:t xml:space="preserve"> </w:t>
      </w:r>
      <w:r w:rsidRPr="00F556B0">
        <w:t>a výměn</w:t>
      </w:r>
      <w:r>
        <w:t>y</w:t>
      </w:r>
      <w:r w:rsidRPr="00F556B0">
        <w:t xml:space="preserve"> zkušeností</w:t>
      </w:r>
      <w:r>
        <w:t xml:space="preserve"> v oblasti TLK a nemateriálního kulturního dědictví obecně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 a regionálními odbornými pracovišti pro</w:t>
      </w:r>
      <w:r>
        <w:rPr>
          <w:i/>
        </w:rPr>
        <w:t> </w:t>
      </w:r>
      <w:r w:rsidRPr="00F556B0">
        <w:rPr>
          <w:i/>
        </w:rPr>
        <w:t>TLK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podporovat vytváření nadnárodních nominací prvků do seznamů zřízených Úmluvou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NÚLK, regionálními odbornými pracovišti pro</w:t>
      </w:r>
      <w:r>
        <w:rPr>
          <w:i/>
        </w:rPr>
        <w:t> </w:t>
      </w:r>
      <w:r w:rsidRPr="00F556B0">
        <w:rPr>
          <w:i/>
        </w:rPr>
        <w:t>TLK, Českou národopisnou společností, z. s.  a dotčenými komunitami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pravidelně vysílat experty na jednání Mezivládního výboru pro zachování nemateriálního kulturního dědictví UNESCO, na Valné shromáždění smluvních států Úmluvy a na</w:t>
      </w:r>
      <w:r>
        <w:t> m</w:t>
      </w:r>
      <w:r w:rsidRPr="00F556B0">
        <w:t>ezinárodní porady pořádané UNESCO; posilovat vazby a spolupráci se smluvními státy Úmluvy, především v rámci středoevropského a</w:t>
      </w:r>
      <w:r>
        <w:t> </w:t>
      </w:r>
      <w:r w:rsidRPr="00F556B0">
        <w:t>východoevropského regionu.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</w:t>
      </w:r>
      <w:r w:rsidR="00F5262E" w:rsidRPr="00F5262E">
        <w:rPr>
          <w:i/>
        </w:rPr>
        <w:t>: M</w:t>
      </w:r>
      <w:r w:rsidRPr="00F556B0">
        <w:rPr>
          <w:i/>
        </w:rPr>
        <w:t>inisterstvo kultury ve spolupráci s NÚLK a Č</w:t>
      </w:r>
      <w:r>
        <w:rPr>
          <w:i/>
        </w:rPr>
        <w:t>eskou národopisnou společností,</w:t>
      </w:r>
      <w:r w:rsidRPr="00F556B0">
        <w:rPr>
          <w:i/>
        </w:rPr>
        <w:t>z.s.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dle kalendáře sekretariátu UNESCO</w:t>
      </w:r>
    </w:p>
    <w:p w:rsidR="00D03F3F" w:rsidRPr="005C2213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pStyle w:val="Zkladntextodsazen"/>
        <w:numPr>
          <w:ilvl w:val="12"/>
          <w:numId w:val="0"/>
        </w:numPr>
        <w:rPr>
          <w:iCs/>
          <w:sz w:val="24"/>
          <w:szCs w:val="24"/>
        </w:rPr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 xml:space="preserve">pravidelně vysílat experty na jednání Mezivládního výboru pro </w:t>
      </w:r>
      <w:r>
        <w:t>duševní vlastnictví a genetické zdroje, tradiční znalosti a folklór Světové organizace duševního vlastnictví (WIPO)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</w:t>
      </w:r>
      <w:r w:rsidRPr="008953CD">
        <w:rPr>
          <w:i/>
        </w:rPr>
        <w:t>:</w:t>
      </w:r>
      <w:r>
        <w:rPr>
          <w:i/>
        </w:rPr>
        <w:t xml:space="preserve"> M</w:t>
      </w:r>
      <w:r w:rsidRPr="00F556B0">
        <w:rPr>
          <w:i/>
        </w:rPr>
        <w:t>inisterstvo kultury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dle kalendáře sekretariátu </w:t>
      </w:r>
      <w:r>
        <w:rPr>
          <w:i/>
        </w:rPr>
        <w:t>WIPO</w:t>
      </w:r>
    </w:p>
    <w:p w:rsidR="00D03F3F" w:rsidRPr="005C2213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rozpočtu</w:t>
      </w:r>
      <w:r>
        <w:rPr>
          <w:i/>
        </w:rPr>
        <w:t xml:space="preserve"> MK</w:t>
      </w:r>
    </w:p>
    <w:p w:rsidR="00D03F3F" w:rsidRDefault="00D03F3F" w:rsidP="00D03F3F">
      <w:pPr>
        <w:pStyle w:val="Zkladntextodsazen"/>
        <w:numPr>
          <w:ilvl w:val="12"/>
          <w:numId w:val="0"/>
        </w:numPr>
        <w:rPr>
          <w:iCs/>
          <w:sz w:val="24"/>
          <w:szCs w:val="24"/>
        </w:rPr>
      </w:pPr>
    </w:p>
    <w:p w:rsidR="00D03F3F" w:rsidRPr="00F556B0" w:rsidRDefault="00D03F3F" w:rsidP="007E7DAE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D03F3F" w:rsidRPr="00F1193B" w:rsidRDefault="00D03F3F" w:rsidP="00D03F3F">
      <w:pPr>
        <w:pStyle w:val="Zkladntextodsazen"/>
        <w:numPr>
          <w:ilvl w:val="0"/>
          <w:numId w:val="10"/>
        </w:numPr>
        <w:jc w:val="center"/>
        <w:rPr>
          <w:b/>
          <w:i/>
          <w:iCs/>
          <w:sz w:val="28"/>
          <w:szCs w:val="28"/>
        </w:rPr>
      </w:pPr>
      <w:r w:rsidRPr="00F1193B">
        <w:rPr>
          <w:b/>
          <w:i/>
          <w:iCs/>
          <w:sz w:val="28"/>
          <w:szCs w:val="28"/>
        </w:rPr>
        <w:lastRenderedPageBreak/>
        <w:t>Finanční zabezpečení</w:t>
      </w:r>
    </w:p>
    <w:p w:rsidR="00D03F3F" w:rsidRPr="00F556B0" w:rsidRDefault="00D03F3F" w:rsidP="00D03F3F">
      <w:pPr>
        <w:pStyle w:val="Zkladntextodsazen"/>
        <w:ind w:left="0" w:firstLine="708"/>
        <w:jc w:val="both"/>
        <w:rPr>
          <w:iCs/>
          <w:sz w:val="24"/>
          <w:szCs w:val="24"/>
        </w:rPr>
      </w:pPr>
      <w:r w:rsidRPr="00F556B0">
        <w:rPr>
          <w:sz w:val="24"/>
          <w:szCs w:val="24"/>
        </w:rPr>
        <w:t>Plnění konkrétních úkolů na úrovni ministerstva, krajů a odborných institucí bude realizováno v rámci běžných rozpočtů a v rámci příslušných výběrových dotačních řízení. S ohledem na</w:t>
      </w:r>
      <w:r>
        <w:rPr>
          <w:sz w:val="24"/>
          <w:szCs w:val="24"/>
        </w:rPr>
        <w:t> </w:t>
      </w:r>
      <w:r w:rsidRPr="00F556B0">
        <w:rPr>
          <w:sz w:val="24"/>
          <w:szCs w:val="24"/>
        </w:rPr>
        <w:t>d</w:t>
      </w:r>
      <w:r>
        <w:rPr>
          <w:sz w:val="24"/>
          <w:szCs w:val="24"/>
        </w:rPr>
        <w:t xml:space="preserve">opady </w:t>
      </w:r>
      <w:r w:rsidRPr="00F556B0">
        <w:rPr>
          <w:sz w:val="24"/>
          <w:szCs w:val="24"/>
        </w:rPr>
        <w:t>pandemi</w:t>
      </w:r>
      <w:r>
        <w:rPr>
          <w:sz w:val="24"/>
          <w:szCs w:val="24"/>
        </w:rPr>
        <w:t>e covid-19 a očekávané důsledky války na Ukrajině</w:t>
      </w:r>
      <w:r w:rsidRPr="00F556B0">
        <w:rPr>
          <w:sz w:val="24"/>
          <w:szCs w:val="24"/>
        </w:rPr>
        <w:t xml:space="preserve"> nelze předpokládat navýšení těchto prostředků.</w:t>
      </w:r>
      <w:r>
        <w:rPr>
          <w:sz w:val="24"/>
          <w:szCs w:val="24"/>
        </w:rPr>
        <w:t xml:space="preserve">  </w:t>
      </w:r>
    </w:p>
    <w:p w:rsidR="00D03F3F" w:rsidRPr="008953CD" w:rsidRDefault="00D03F3F" w:rsidP="00D03F3F">
      <w:r w:rsidRPr="008953CD">
        <w:t xml:space="preserve"> </w:t>
      </w:r>
    </w:p>
    <w:p w:rsidR="00D03F3F" w:rsidRPr="008953CD" w:rsidRDefault="00D03F3F" w:rsidP="00D03F3F">
      <w:r w:rsidRPr="008953CD">
        <w:t>Plán finanční podpory péče o tradiční lidovou kulturu a implementace Úmluvy o zachování nemateriálního kulturního dědictví v rámci rozpočtu MK v letech 2023˗2025 (v tis. Kč)</w:t>
      </w:r>
    </w:p>
    <w:p w:rsidR="00D03F3F" w:rsidRPr="008953CD" w:rsidRDefault="00D03F3F" w:rsidP="00D03F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418"/>
        <w:gridCol w:w="1979"/>
      </w:tblGrid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Účel/program</w:t>
            </w:r>
          </w:p>
        </w:tc>
        <w:tc>
          <w:tcPr>
            <w:tcW w:w="1418" w:type="dxa"/>
          </w:tcPr>
          <w:p w:rsidR="00D03F3F" w:rsidRPr="008953CD" w:rsidRDefault="00D03F3F" w:rsidP="004B6713">
            <w:r w:rsidRPr="008953CD">
              <w:t>Plán 2023</w:t>
            </w:r>
          </w:p>
        </w:tc>
        <w:tc>
          <w:tcPr>
            <w:tcW w:w="1417" w:type="dxa"/>
          </w:tcPr>
          <w:p w:rsidR="00D03F3F" w:rsidRPr="008953CD" w:rsidRDefault="00D03F3F" w:rsidP="004B6713">
            <w:r w:rsidRPr="008953CD">
              <w:t>Plán 2024</w:t>
            </w:r>
          </w:p>
        </w:tc>
        <w:tc>
          <w:tcPr>
            <w:tcW w:w="1418" w:type="dxa"/>
          </w:tcPr>
          <w:p w:rsidR="00D03F3F" w:rsidRPr="008953CD" w:rsidRDefault="00D03F3F" w:rsidP="004B6713">
            <w:r w:rsidRPr="008953CD">
              <w:t>Plán 2025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rPr>
                <w:b/>
              </w:rPr>
            </w:pPr>
            <w:r w:rsidRPr="008953CD">
              <w:rPr>
                <w:b/>
              </w:rPr>
              <w:t>Celkem 2023-2025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Implementace Úmluvy o zachování nemateriálního kulturního dědictví UNESCO – kulturní aktivity, pol. 5331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21 000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Program Nositelé tradice lidových řemesel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750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Výběrové dotační řízení na podporu tradiční lidové kultury / kategorie B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3 500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3 800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3 800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11 100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Výběrové dotační řízení na podporu tradiční lidové kultury / kategorie A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2 200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2 500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2 500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7 200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8953CD">
              <w:rPr>
                <w:b w:val="0"/>
                <w:sz w:val="24"/>
                <w:szCs w:val="24"/>
              </w:rPr>
              <w:t>Program poskytování příspěvků na tvůrčí nebo studijní účely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3 000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pPr>
              <w:rPr>
                <w:b/>
              </w:rPr>
            </w:pPr>
            <w:r w:rsidRPr="008953CD">
              <w:rPr>
                <w:b/>
              </w:rPr>
              <w:t>celkem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13 950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14 550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14 550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43 050</w:t>
            </w:r>
          </w:p>
        </w:tc>
      </w:tr>
    </w:tbl>
    <w:p w:rsidR="00D03F3F" w:rsidRDefault="00D03F3F" w:rsidP="00D03F3F">
      <w:pPr>
        <w:rPr>
          <w:b/>
          <w:sz w:val="22"/>
          <w:szCs w:val="22"/>
        </w:rPr>
      </w:pPr>
    </w:p>
    <w:p w:rsidR="00C277C8" w:rsidRDefault="003A52C5"/>
    <w:sectPr w:rsidR="00C277C8" w:rsidSect="0040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C5" w:rsidRDefault="003A52C5" w:rsidP="00D03F3F">
      <w:r>
        <w:separator/>
      </w:r>
    </w:p>
  </w:endnote>
  <w:endnote w:type="continuationSeparator" w:id="0">
    <w:p w:rsidR="003A52C5" w:rsidRDefault="003A52C5" w:rsidP="00D0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066108"/>
      <w:docPartObj>
        <w:docPartGallery w:val="Page Numbers (Bottom of Page)"/>
        <w:docPartUnique/>
      </w:docPartObj>
    </w:sdtPr>
    <w:sdtEndPr/>
    <w:sdtContent>
      <w:p w:rsidR="00D03F3F" w:rsidRDefault="00D03F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BA9">
          <w:rPr>
            <w:noProof/>
          </w:rPr>
          <w:t>2</w:t>
        </w:r>
        <w:r>
          <w:fldChar w:fldCharType="end"/>
        </w:r>
      </w:p>
    </w:sdtContent>
  </w:sdt>
  <w:p w:rsidR="00D03F3F" w:rsidRDefault="00D03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C5" w:rsidRDefault="003A52C5" w:rsidP="00D03F3F">
      <w:r>
        <w:separator/>
      </w:r>
    </w:p>
  </w:footnote>
  <w:footnote w:type="continuationSeparator" w:id="0">
    <w:p w:rsidR="003A52C5" w:rsidRDefault="003A52C5" w:rsidP="00D03F3F">
      <w:r>
        <w:continuationSeparator/>
      </w:r>
    </w:p>
  </w:footnote>
  <w:footnote w:id="1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Viz Sdělení Ministerstva zahraničních věcí o přijetí Úmluvy o zachování nemateriálního kulturního dědictví Českou republikou, Sbírka mezinárodních smluv, ročník 2009, částka 14</w:t>
      </w:r>
    </w:p>
  </w:footnote>
  <w:footnote w:id="2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Usnesení vlády č. 10/2016 ke Koncepci účinnější péče o tradiční lidovou kulturu v ČR na období 2016-2020</w:t>
      </w:r>
    </w:p>
  </w:footnote>
  <w:footnote w:id="3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Viz Příkaz ministra 39/2004, kterým se zřizuje Národní rada pro tradiční lidovou kulturu a vydává její statut</w:t>
      </w:r>
    </w:p>
  </w:footnote>
  <w:footnote w:id="4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 Podrobné informace a další odkazy uvedeny na: </w:t>
      </w:r>
      <w:hyperlink r:id="rId1" w:history="1">
        <w:r w:rsidRPr="00F1193B">
          <w:rPr>
            <w:rStyle w:val="Hypertextovodkaz"/>
          </w:rPr>
          <w:t>Krajské seznamy-Národní ústav lidové kultury (nulk.cz)</w:t>
        </w:r>
      </w:hyperlink>
    </w:p>
  </w:footnote>
  <w:footnote w:id="5">
    <w:p w:rsidR="00D03F3F" w:rsidRPr="00F1193B" w:rsidRDefault="00D03F3F" w:rsidP="00D03F3F">
      <w:pPr>
        <w:rPr>
          <w:bCs/>
          <w:sz w:val="20"/>
          <w:szCs w:val="20"/>
        </w:rPr>
      </w:pPr>
      <w:r w:rsidRPr="00F1193B">
        <w:rPr>
          <w:rStyle w:val="Znakapoznpodarou"/>
        </w:rPr>
        <w:footnoteRef/>
      </w:r>
      <w:r w:rsidRPr="00F1193B">
        <w:t xml:space="preserve"> </w:t>
      </w:r>
      <w:r w:rsidRPr="00A26687">
        <w:rPr>
          <w:sz w:val="20"/>
          <w:szCs w:val="20"/>
        </w:rPr>
        <w:t>Upraveno</w:t>
      </w:r>
      <w:r w:rsidRPr="00F1193B">
        <w:t xml:space="preserve"> P</w:t>
      </w:r>
      <w:r w:rsidRPr="00F1193B">
        <w:rPr>
          <w:sz w:val="20"/>
          <w:szCs w:val="20"/>
        </w:rPr>
        <w:t xml:space="preserve">říkazem ministra č. 41/2008, </w:t>
      </w:r>
      <w:r w:rsidRPr="00F1193B">
        <w:rPr>
          <w:bCs/>
          <w:sz w:val="20"/>
          <w:szCs w:val="20"/>
        </w:rPr>
        <w:t>kterým se zřizuje „Seznam nemateriálních statků tradiční a lidové kultury České republiky“, ve znění P</w:t>
      </w:r>
      <w:r w:rsidRPr="00F1193B">
        <w:rPr>
          <w:sz w:val="20"/>
          <w:szCs w:val="20"/>
        </w:rPr>
        <w:t>říkazu ministra č. 45/2012, v souladu s usnesením vlády České republiky ze dne 5. ledna 2011 č. 11 ke Koncepci účinnější péče o tradiční lidovou kulturu v ČR a v rámci implementace Úmluvy o zachování nemateriálního kulturního dědictví</w:t>
      </w:r>
    </w:p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</w:p>
  </w:footnote>
  <w:footnote w:id="6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Metodický pokyn MK pro vedení Seznamu nemateriálních statků tradiční lidové kultury ČR čj. MK 83893/2018</w:t>
      </w:r>
    </w:p>
  </w:footnote>
  <w:footnote w:id="7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Aktuální informace jsou dostupné na webových stránkách regionálních pracovišť v jednotlivých krajích – odkazy jsou souhrnně uveřejněny na </w:t>
      </w:r>
      <w:hyperlink r:id="rId2" w:history="1">
        <w:r w:rsidRPr="00F1193B">
          <w:rPr>
            <w:rStyle w:val="Hypertextovodkaz"/>
          </w:rPr>
          <w:t>Krajské seznamy - Národní ústav lidové kultury (nulk.cz)</w:t>
        </w:r>
      </w:hyperlink>
    </w:p>
    <w:p w:rsidR="00D03F3F" w:rsidRPr="0023740D" w:rsidRDefault="00D03F3F" w:rsidP="00D03F3F">
      <w:pPr>
        <w:jc w:val="both"/>
        <w:rPr>
          <w:rFonts w:asciiTheme="minorHAnsi" w:hAnsiTheme="minorHAnsi" w:cstheme="minorHAnsi"/>
          <w:sz w:val="20"/>
          <w:szCs w:val="20"/>
        </w:rPr>
      </w:pPr>
      <w:r w:rsidRPr="0023740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3F3F" w:rsidRPr="0023740D" w:rsidRDefault="00D03F3F" w:rsidP="00D03F3F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B7A"/>
    <w:multiLevelType w:val="multilevel"/>
    <w:tmpl w:val="AA92346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C38397D"/>
    <w:multiLevelType w:val="multilevel"/>
    <w:tmpl w:val="3E0A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106E55"/>
    <w:multiLevelType w:val="hybridMultilevel"/>
    <w:tmpl w:val="9E3A81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350"/>
    <w:multiLevelType w:val="hybridMultilevel"/>
    <w:tmpl w:val="171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4878"/>
    <w:multiLevelType w:val="multilevel"/>
    <w:tmpl w:val="642EA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420F9F"/>
    <w:multiLevelType w:val="hybridMultilevel"/>
    <w:tmpl w:val="D9CABE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46443F"/>
    <w:multiLevelType w:val="multilevel"/>
    <w:tmpl w:val="ACEA2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287EED"/>
    <w:multiLevelType w:val="hybridMultilevel"/>
    <w:tmpl w:val="0C20682C"/>
    <w:lvl w:ilvl="0" w:tplc="EE8C135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60C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285087"/>
    <w:multiLevelType w:val="multilevel"/>
    <w:tmpl w:val="438CB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C7A24"/>
    <w:multiLevelType w:val="hybridMultilevel"/>
    <w:tmpl w:val="EFC61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1C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10F1D9C"/>
    <w:multiLevelType w:val="multilevel"/>
    <w:tmpl w:val="ECAAEA7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E24DE0"/>
    <w:multiLevelType w:val="hybridMultilevel"/>
    <w:tmpl w:val="2D8A9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3F"/>
    <w:rsid w:val="000B2401"/>
    <w:rsid w:val="00165C39"/>
    <w:rsid w:val="00287F77"/>
    <w:rsid w:val="003A52C5"/>
    <w:rsid w:val="003D1A5B"/>
    <w:rsid w:val="0041157A"/>
    <w:rsid w:val="0055278E"/>
    <w:rsid w:val="007E7DAE"/>
    <w:rsid w:val="00A26687"/>
    <w:rsid w:val="00B507C3"/>
    <w:rsid w:val="00B50BA9"/>
    <w:rsid w:val="00CB6969"/>
    <w:rsid w:val="00D03F3F"/>
    <w:rsid w:val="00E01481"/>
    <w:rsid w:val="00F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7AEE1-DEAC-4C52-98C9-3B4D1F73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F3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D03F3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03F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03F3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3F3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3F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3F3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03F3F"/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3F3F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3F3F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3F3F"/>
    <w:rPr>
      <w:vertAlign w:val="superscript"/>
    </w:rPr>
  </w:style>
  <w:style w:type="table" w:styleId="Mkatabulky">
    <w:name w:val="Table Grid"/>
    <w:basedOn w:val="Normlntabulka"/>
    <w:uiPriority w:val="39"/>
    <w:rsid w:val="00D0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D03F3F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03F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F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ovaremesla.cz" TargetMode="External"/><Relationship Id="rId13" Type="http://schemas.openxmlformats.org/officeDocument/2006/relationships/hyperlink" Target="http://www.lidovaremesl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dovakultur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dovakultur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l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dovakultura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dovakultura.cz/lidova-kultura/zdroje-informaci-a-vyzkum-lk/elektronicke-databaze/" TargetMode="External"/><Relationship Id="rId14" Type="http://schemas.openxmlformats.org/officeDocument/2006/relationships/hyperlink" Target="https://www.mkcr.cz/umluva-o-zachovani-nematerialniho-kulturniho-dedictvi-300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ulk.cz/narodni-seznam/krajske-seznamy/" TargetMode="External"/><Relationship Id="rId1" Type="http://schemas.openxmlformats.org/officeDocument/2006/relationships/hyperlink" Target="https://www.nulk.cz/narodni-seznam/krajske-seznam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30AA-BFCC-4FD0-BB7B-1D0CFDFF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6450</Words>
  <Characters>38055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Skopová Věra</dc:creator>
  <cp:keywords/>
  <dc:description/>
  <cp:lastModifiedBy>Dominika Bakliková</cp:lastModifiedBy>
  <cp:revision>2</cp:revision>
  <cp:lastPrinted>2023-01-05T13:53:00Z</cp:lastPrinted>
  <dcterms:created xsi:type="dcterms:W3CDTF">2024-10-23T08:23:00Z</dcterms:created>
  <dcterms:modified xsi:type="dcterms:W3CDTF">2024-10-23T08:23:00Z</dcterms:modified>
</cp:coreProperties>
</file>